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/>
        <w:spacing w:lineRule="auto" w:line="240"/>
        <w:rPr>
          <w:rFonts w:eastAsia="Times New Roman" w:cs="Times New Roman"/>
          <w:color w:val="000000"/>
          <w:sz w:val="52"/>
          <w:szCs w:val="52"/>
        </w:rPr>
      </w:pPr>
      <w:r>
        <w:rPr/>
        <w:drawing>
          <wp:inline distT="0" distB="0" distL="0" distR="0">
            <wp:extent cx="3556635" cy="1371600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52"/>
          <w:szCs w:val="52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«Спасательные работы»</w:t>
      </w:r>
    </w:p>
    <w:p>
      <w:pPr>
        <w:pStyle w:val="Normal"/>
        <w:pBdr/>
        <w:spacing w:lineRule="auto" w:line="240"/>
        <w:jc w:val="center"/>
        <w:rPr>
          <w:b w:val="false"/>
          <w:bCs w:val="false"/>
          <w:i w:val="false"/>
          <w:i w:val="false"/>
          <w:iCs w:val="false"/>
        </w:rPr>
      </w:pPr>
      <w:r>
        <w:rPr>
          <w:rFonts w:eastAsia="Times New Roman" w:cs="Times New Roman"/>
          <w:b w:val="false"/>
          <w:bCs w:val="false"/>
          <w:i w:val="false"/>
          <w:iCs w:val="false"/>
          <w:color w:val="000000"/>
          <w:sz w:val="36"/>
          <w:szCs w:val="36"/>
        </w:rPr>
        <w:t xml:space="preserve">Регионального этапа Чемпионата по профессиональному мастерству «Профессионалы» </w:t>
      </w:r>
    </w:p>
    <w:p>
      <w:pPr>
        <w:pStyle w:val="Normal"/>
        <w:pBdr/>
        <w:spacing w:lineRule="auto" w:line="240"/>
        <w:jc w:val="center"/>
        <w:rPr>
          <w:b w:val="false"/>
          <w:bCs w:val="false"/>
          <w:color w:val="000000"/>
          <w:u w:val="none"/>
        </w:rPr>
      </w:pPr>
      <w:r>
        <w:rPr>
          <w:rFonts w:eastAsia="Times New Roman" w:cs="Times New Roman"/>
          <w:b w:val="false"/>
          <w:bCs w:val="false"/>
          <w:color w:val="000000"/>
          <w:sz w:val="36"/>
          <w:szCs w:val="36"/>
          <w:u w:val="none"/>
        </w:rPr>
        <w:t xml:space="preserve">в </w:t>
      </w:r>
      <w:r>
        <w:rPr>
          <w:rFonts w:eastAsia="Times New Roman" w:cs="Times New Roman"/>
          <w:b w:val="false"/>
          <w:bCs w:val="false"/>
          <w:color w:val="000000"/>
          <w:sz w:val="36"/>
          <w:szCs w:val="36"/>
          <w:u w:val="none"/>
        </w:rPr>
        <w:t>Кемеровской области-Кузбассе</w:t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</w:rPr>
      </w:pPr>
      <w:r>
        <w:rPr/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2026 г.</w:t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keepNext w:val="true"/>
        <w:keepLines/>
        <w:pBdr/>
        <w:spacing w:lineRule="auto" w:line="48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webHidden/>
              <w:rStyle w:val="Style17"/>
              <w:sz w:val="28"/>
              <w:u w:val="single"/>
              <w:szCs w:val="28"/>
              <w:rFonts w:eastAsia="Times New Roman" w:cs="Times New Roman"/>
              <w:color w:val="0000FF"/>
            </w:rPr>
            <w:instrText xml:space="preserve"> TOC \z \o "1-9" \u \h</w:instrText>
          </w:r>
          <w:r>
            <w:rPr>
              <w:webHidden/>
              <w:rStyle w:val="Style17"/>
              <w:sz w:val="28"/>
              <w:u w:val="single"/>
              <w:szCs w:val="28"/>
              <w:rFonts w:eastAsia="Times New Roman" w:cs="Times New Roman"/>
              <w:color w:val="0000FF"/>
            </w:rPr>
            <w:fldChar w:fldCharType="separate"/>
          </w:r>
          <w:hyperlink w:anchor="_heading=h.30j0zll" w:tgtFrame="#_heading=h.30j0zll">
            <w:r>
              <w:rPr>
                <w:webHidden/>
                <w:rStyle w:val="Style17"/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gtFrame="#_heading=h.30j0zll">
            <w:r>
              <w:rPr>
                <w:webHidden/>
                <w:rStyle w:val="Style17"/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gtFrame="#_heading=h.1fob9te">
            <w:r>
              <w:rPr>
                <w:webHidden/>
                <w:rStyle w:val="Style17"/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gtFrame="#_heading=h.1fob9te">
            <w:r>
              <w:rPr>
                <w:webHidden/>
                <w:rStyle w:val="Style17"/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gtFrame="#_heading=h.2et92p0">
            <w:r>
              <w:rPr>
                <w:webHidden/>
                <w:rStyle w:val="Style17"/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gtFrame="#_heading=h.2et92p0">
            <w:r>
              <w:rPr>
                <w:webHidden/>
                <w:rStyle w:val="Style17"/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gtFrame="#_heading=h.tyjcwt">
            <w:r>
              <w:rPr>
                <w:webHidden/>
                <w:rStyle w:val="Style17"/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gtFrame="#_heading=h.tyjcwt">
            <w:r>
              <w:rPr>
                <w:webHidden/>
                <w:rStyle w:val="Style17"/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gtFrame="#_heading=h.3dy6vkm">
            <w:r>
              <w:rPr>
                <w:webHidden/>
                <w:rStyle w:val="Style17"/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gtFrame="#_heading=h.3dy6vkm">
            <w:r>
              <w:rPr>
                <w:webHidden/>
                <w:rStyle w:val="Style17"/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gtFrame="#_heading=h.1t3h5sf">
            <w:r>
              <w:rPr>
                <w:webHidden/>
                <w:rStyle w:val="Style17"/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gtFrame="#_heading=h.1t3h5sf">
            <w:r>
              <w:rPr>
                <w:webHidden/>
                <w:rStyle w:val="Style17"/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>
          <w:pPr>
            <w:pStyle w:val="Normal"/>
            <w:pBdr/>
            <w:tabs>
              <w:tab w:val="clear" w:pos="720"/>
              <w:tab w:val="right" w:pos="9911" w:leader="none"/>
            </w:tabs>
            <w:spacing w:lineRule="auto" w:line="360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gtFrame="#_heading=h.4d34og8">
            <w:r>
              <w:rPr>
                <w:webHidden/>
                <w:rStyle w:val="Style17"/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gtFrame="#_heading=h.4d34og8">
            <w:r>
              <w:rPr>
                <w:webHidden/>
                <w:rStyle w:val="Style17"/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>
            <w:rPr>
              <w:rStyle w:val="Style17"/>
              <w:sz w:val="28"/>
              <w:szCs w:val="28"/>
              <w:rFonts w:eastAsia="Times New Roman" w:cs="Times New Roman"/>
              <w:color w:val="000000"/>
            </w:rPr>
            <w:fldChar w:fldCharType="end"/>
          </w:r>
        </w:p>
      </w:sdtContent>
    </w:sdt>
    <w:p>
      <w:pPr>
        <w:pStyle w:val="Normal"/>
        <w:pBdr/>
        <w:spacing w:lineRule="auto" w:line="36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pBdr/>
        <w:spacing w:lineRule="auto" w:line="240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</w:r>
    </w:p>
    <w:p>
      <w:pPr>
        <w:pStyle w:val="Normal"/>
        <w:keepNext w:val="true"/>
        <w:keepLines/>
        <w:pBdr/>
        <w:spacing w:lineRule="auto" w:line="36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</w:r>
      <w:bookmarkStart w:id="0" w:name="_heading=h.gjdgxs"/>
      <w:bookmarkStart w:id="1" w:name="_heading=h.gjdgxs"/>
      <w:bookmarkEnd w:id="1"/>
      <w:r>
        <w:br w:type="page"/>
      </w:r>
    </w:p>
    <w:p>
      <w:pPr>
        <w:pStyle w:val="ListParagraph"/>
        <w:pBdr/>
        <w:spacing w:lineRule="auto" w:line="360" w:before="0" w:after="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1. Область применения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при выполнении аварийно-спасательных работ, неотложных работ при ликвидации чрезвычайных ситуаций, спасение людей и оказание первой помощи пострадавшим и предназначена для участников Чемпионата по профессиональному мастерству «Профессионал».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Чемпионата по профессиональному мастерству «Профессионал» (далее Чемпионат) компетенции «Спасательные работы».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 Нормативные ссылки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(2018г. изменения / дополнения).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 ФЗ № 273 от 29.12.2012 "Об образовании в Российской Федерации".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 ФГОС СПО 20.02.02 «Защита в ЧС».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2.1.4 Приказ Министерства труда и социальной защиты РФ от 18.10.2023 г. №766н "Об утверждении профессионального стандарта "Спасатель"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 Национальный стандарт Российской Федерации «Безопасность в ЧС» - Инструмент аварийно-спасательный гидравлический» 2014 г. ГОСТ 22.9.18-2023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2.1.6 Приказ Минтруда России от 16.11.2020 N 782н (ред. от 29.04.2025) "Об утверждении Правил по охране труда при работе на высоте" (Зарегистрировано в Минюсте России 15.12.2020 N 61477).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2.1.7 Приказ МЧС России от 16.09.2024 N 777 "Об утверждении Боевого устава подразделений пожарной охраны, определяющего порядок организации тушения пожаров и проведения аварийно-спасательных работ" (Зарегистрировано в Минюсте России 12.11.2024 N 80117)».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2.1.8 Приказ Минтруда России от 29.10.2021 N 766н "Об утверждении Правил обеспечения работников средствами индивидуальной защиты и смывающими средствами" (Зарегистрировано в Минюсте России 29.12.2021 N 66670)».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2.1.9 Приказ Министерства труда и социальной защиты РФ от 27.11.2020 № 835н «Об утверждении правил по охране труда при работе с инструментом и приспособлениями».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ListParagraph"/>
        <w:pBdr/>
        <w:spacing w:lineRule="auto" w:line="36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 К самостоятельной работе по выполнению АСДНР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об обучении (или работе) в образовательной организации (или на производстве), имеющие профессиональные навыки по проведению АСДНР, эксплуатации инструмента, приспособлений, совместной работы на оборудовании.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 Участник Чемпионата обязан: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3.2.3 Соблюдать требования охраны труда.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3.2.4 Немедленно извещать своего непосредственного или вышестоящего руководителя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3.2.5 Применять безопасные методы и приёмы выполнения работ и оказания первой помощи, инструктаж по охране труда.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 При выполнении АСДНР на участника Чемпионата возможны воздействия следующих опасных и вредных производственных факторов: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3.3.1 Возрастная категория 14 – 16 лет: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режущие и колющие предметы;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падение с высоты;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падения во время преодоления препятствий;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воздействие электрического тока;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физическая нагрузка.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3.3.2 Возрастная категория 16 – 22 года: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режущие и колющие предметы;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падение с высоты;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падения во время преодоления препятствий;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-воздействие повышенного давления рабочей жидкости гидравлического аварийно-спасательного инструмента;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воздействие повышенного давления огнетушащего вещества;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воздействие открытого огня;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воздействие электрического тока;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физическая, нервно-психическая нагрузки;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-воздействие горюче-смазочных материалов на кожные покровы и органы дыхания;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воздействие огнетушащего порошкового вещества на органы дыхания.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Костюм МЧС или ХБ защитного цвета (либо комбинезон спасателя;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 xml:space="preserve">Боевая одежда пожарного (комплект);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Подшлемник;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Перчатки медицинские латексные;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Шлем пожарного;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Перчатки ХБ с ПВХ;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Перчатки спилковые;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Перчатки пожарного (с крагой) пятипалые;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Каска альпинистская;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Очки спасателя;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Спец обувь (Берцы);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 При выполнении конкурсного задания конкурсант должен знать: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Устройство, принцип действия, правила и безопасные приемы эксплуатации пожарной, аварийно-спасательной техники и оборудования;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Принципы организации и порядок ведения спасательных работ при различных ЧС;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 xml:space="preserve">Способы поиска, извлечения и транспортировки, </w:t>
      </w:r>
      <w:bookmarkStart w:id="3" w:name="_GoBack"/>
      <w:bookmarkEnd w:id="3"/>
      <w:r>
        <w:rPr>
          <w:rFonts w:eastAsia="Times New Roman" w:cs="Times New Roman"/>
          <w:color w:val="000000"/>
          <w:sz w:val="28"/>
          <w:szCs w:val="28"/>
        </w:rPr>
        <w:t>пострадавших в различных условиях;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Назначение и применение слесарного и электротехнического инструмента;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Способы и порядок оказания первой помощи, правила пользования медицинским материалом и изделиями, признаки, алгоритмы помощи при острых стрессовых реакциях;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Технологию проведения разведки на наличие очагов пожара, химического, радиоактивного, бактериологического заражения, отравляющих веществ;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Технологию стабилизации разрушенных конструкций;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Алгоритм ликвидации последствий ДТП;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Условия прекращения горения материалов;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Организацию и ведение действий по тушению пожаров;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Методы и способы безопасной работы на высоте.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3.8.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В случаях травмирования или недомогания необходимо прекратить работу, известить об этом непосредственного руководителя работ и обратиться в медицинское учреждение.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Лица, не соблюдающие настоящие Правила, привлекаются к ответственности согласно действующему законодательству.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ListParagraph"/>
        <w:pBdr/>
        <w:spacing w:lineRule="auto" w:line="36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аварийно-спасательных работ, неотложных работ при ликвидации чрезвычайных ситуаций, спасения людей и оказание первой помощи пострадавшим работник обязан: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Надеть спецодежду, Спецобувь установленного образца;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Подготовить необходимые средства индивидуальной защиты;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Подготовить инструмент, оборудование и технологическую оснастку, необходимые при выполнении работ, проверить их исправность и соответствие требованиям безопасности;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 Участник не должны приступать к работе при следующих нарушениях требований безопасности: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Отсутствии или некомплектности средств индивидуальной защиты;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Наличии инструмента или оборудования не входящего в инфраструктурный лист Чемпионата или личный инструмент конкурсанта;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вышестоящему руководству и до устранения неполадок к конкурсному заданию не приступать.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ListParagraph"/>
        <w:pBdr/>
        <w:spacing w:lineRule="auto" w:line="36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участнику необходимо соблюдать требования безопасности при использовании инструмента и оборудования.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5.1.1 Гидравлический аварийно-спасательный инструмент – работа производится в соответствующих средствах индивидуальной защиты. Инструмент используется согласно технической документации. Во время работы отслеживается герметичность рукавов инструмента и источников энергии, механические повреждения, появившиеся в процессе работы.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5.1.2 Ручной немеханизированный аварийно-спасательный инструмент - работа производится в соответствующих средствах индивидуальной защиты. Инструмент используется согласно технической документации.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5.1.3 Механизированный аварийно- спасательный инструмент - работа производится в соответствующих средствах индивидуальной защиты. Инструмент используется согласно технической документации. При включенном двигателе запрещается регулировать инструмент и устранять неисправности.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5.1.4 Пожарно-техническое вооружение - работа производится в соответствующих средствах индивидуальной защиты. Оборудование используется согласно технической документации. При подаче давления в рукавные линии все элементы должны плотно соединены между собой. Во время работы отслеживается герметичность и целостность оборудования.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5.1.5 Первичные средства пожаротушения (огнетушитель) - работа производится в соответствующих средствах индивидуальной защиты. Оборудование используется согласно технической документации. Во время осмотров необходимо проверять состояние манометра, целостность пломбы и бирки. Запрещено использовать огнетушители с неисправными узлами, глубокими вмятинами и коррозией на корпусе.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5.1.6 Альпинистское снаряжение и оборудование – работа производится в соответствующих средствах индивидуальной защиты. Оборудование используется согласно технической документации. При и работе переноске снаряжения и оборудования убедиться, что веревки, петли, обвязки и другие текстильные элементы защищены от контакта с острыми гранями.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5.1.7 Электронные тренажёры и манекены – запрещено производить манипуляции с источниками питания и управления электронными тренажёрами, продолжать работы при выявлении разрушений частей корпуса, возможности прямого контакта с блоками управления и кабелями.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5.1.8 Тренажёрное оборудование – работы ведутся согласно паспорту производителя. Работы по: распиливанию, разрезанию производятся в специально отведённых местах. Все элементы и узлы крепления и стыковки должны быть затянуты, не иметь конструктивных повреждений.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 При выходе из строя инструмента или оборудования необходимо прекратить выполнение конкурсного задания и сообщить об этом вышестоящему руководству.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ListParagraph"/>
        <w:pBdr/>
        <w:spacing w:lineRule="auto" w:line="36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6. Требования охраны в аварийных ситуациях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руководителя работ.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ответственного за выполнение работ оперативно принять меры по устранению причин аварий или ситуаций, которые могут привести к авариям или несчастным случаям.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 При обнаружении неисправности в работе устройств, (повышенном их нагреве, появления искрения, запаха гари, задымления и т.д.), участнику следует немедленно сообщить о случившемся руководителю работ. Выполнение конкурсного задания продолжить только после устранения возникшей неисправности.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своему непосредственному руководителю.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 В случае возникновения пожара: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6.4.1 Оповестить всех участников Чемпионата, находящихся в помещении и принять меры к тушению очага пожара. 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6.4.2 Принять меры к вызову на место пожара непосредственного руководителя или других должностных лиц.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6.4.3 При наступлении признаков удушья лечь на пол и как можно быстрее ползти в сторону эвакуационного выхода.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 При возгорании одежды попытаться сбросить ее. Если это сделать не удается, упасть на пол и, перекатываясь, сбить пламя,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 При обнаружении взрывоопасного или подозрительного предмета нельзя подходить к нему близко, необходимо предупредить о возможной опасности непосредственного руководителя или других должностных лиц.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</w:r>
    </w:p>
    <w:p>
      <w:pPr>
        <w:pStyle w:val="ListParagraph"/>
        <w:pBdr/>
        <w:spacing w:lineRule="auto" w:line="360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участник обязан: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Привести в порядок рабочее место, собрать инструмент и убрать в отведенные для его хранения места;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Снять и убрать спецодежду, средства индивидуальной защиты в предназначенные для хранения места;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Вымыть руки с мылом и при необходимости принять душ;</w:t>
      </w:r>
    </w:p>
    <w:p>
      <w:pPr>
        <w:pStyle w:val="ListParagraph"/>
        <w:pBdr/>
        <w:spacing w:lineRule="auto" w:line="360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●</w:t>
      </w:r>
      <w:r>
        <w:rPr>
          <w:rFonts w:eastAsia="Times New Roman" w:cs="Times New Roman"/>
          <w:color w:val="000000"/>
          <w:sz w:val="28"/>
          <w:szCs w:val="28"/>
        </w:rPr>
        <w:tab/>
        <w:t>Сообщить лицу, ответственному за выполнение работ о всех недостатках, замеченных во время работы, и принятых мерах по их устранению.</w:t>
      </w:r>
    </w:p>
    <w:sectPr>
      <w:footerReference w:type="default" r:id="rId3"/>
      <w:footerReference w:type="first" r:id="rId4"/>
      <w:type w:val="nextPage"/>
      <w:pgSz w:w="11906" w:h="16838"/>
      <w:pgMar w:left="1418" w:right="567" w:gutter="0" w:header="0" w:top="851" w:footer="708" w:bottom="851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Open Sans">
    <w:charset w:val="01"/>
    <w:family w:val="swiss"/>
    <w:pitch w:val="variable"/>
  </w:font>
  <w:font w:name="Georg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/>
      <w:jc w:val="right"/>
      <w:rPr>
        <w:rFonts w:ascii="Calibri" w:hAnsi="Calibri"/>
        <w:color w:val="000000"/>
        <w:sz w:val="22"/>
        <w:szCs w:val="22"/>
      </w:rPr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9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677" w:leader="none"/>
        <w:tab w:val="right" w:pos="9355" w:leader="none"/>
      </w:tabs>
      <w:spacing w:lineRule="auto" w:line="240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</w:r>
  </w:p>
</w:ftr>
</file>

<file path=word/settings.xml><?xml version="1.0" encoding="utf-8"?>
<w:settings xmlns:w="http://schemas.openxmlformats.org/wordprocessingml/2006/main">
  <w:zoom w:percent="8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tLeast" w:line="1" w:before="0" w:after="0"/>
      <w:jc w:val="left"/>
      <w:outlineLvl w:val="0"/>
    </w:pPr>
    <w:rPr>
      <w:rFonts w:ascii="Times New Roman" w:hAnsi="Times New Roman" w:eastAsia="Calibri" w:cs="Calibri"/>
      <w:color w:val="auto"/>
      <w:kern w:val="0"/>
      <w:position w:val="-1"/>
      <w:sz w:val="24"/>
      <w:szCs w:val="24"/>
      <w:lang w:eastAsia="ru-RU" w:val="ru-RU" w:bidi="ar-SA"/>
    </w:rPr>
  </w:style>
  <w:style w:type="paragraph" w:styleId="Heading1">
    <w:name w:val="Heading 1"/>
    <w:basedOn w:val="Normal"/>
    <w:next w:val="Normal"/>
    <w:link w:val="11"/>
    <w:qFormat/>
    <w:pPr>
      <w:keepNext w:val="true"/>
      <w:keepLines/>
      <w:spacing w:lineRule="auto" w:line="276" w:before="480" w:after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21"/>
    <w:qFormat/>
    <w:pPr>
      <w:keepNext w:val="true"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4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5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6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11" w:customStyle="1">
    <w:name w:val="Заголовок 1 Знак1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1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uiPriority w:val="10"/>
    <w:qFormat/>
    <w:rPr>
      <w:sz w:val="48"/>
      <w:szCs w:val="48"/>
    </w:rPr>
  </w:style>
  <w:style w:type="character" w:styleId="Style6" w:customStyle="1">
    <w:name w:val="Подзаголовок Знак"/>
    <w:uiPriority w:val="11"/>
    <w:qFormat/>
    <w:rPr>
      <w:sz w:val="24"/>
      <w:szCs w:val="24"/>
    </w:rPr>
  </w:style>
  <w:style w:type="character" w:styleId="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1" w:customStyle="1">
    <w:name w:val="Верхний колонтитул Знак1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12" w:customStyle="1">
    <w:name w:val="Нижний колонтитул Знак1"/>
    <w:uiPriority w:val="99"/>
    <w:qFormat/>
    <w:rPr/>
  </w:style>
  <w:style w:type="character" w:styleId="Hyperlink">
    <w:name w:val="Hyperlink"/>
    <w:qFormat/>
    <w:rPr>
      <w:color w:val="0000FF"/>
      <w:position w:val="0"/>
      <w:sz w:val="20"/>
      <w:u w:val="single"/>
      <w:vertAlign w:val="baseline"/>
    </w:rPr>
  </w:style>
  <w:style w:type="character" w:styleId="13" w:customStyle="1">
    <w:name w:val="Текст сноски Знак1"/>
    <w:uiPriority w:val="99"/>
    <w:qFormat/>
    <w:rPr>
      <w:sz w:val="18"/>
    </w:rPr>
  </w:style>
  <w:style w:type="character" w:styleId="Style8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9" w:customStyle="1">
    <w:name w:val="Текст концевой сноски Знак"/>
    <w:uiPriority w:val="99"/>
    <w:qFormat/>
    <w:rPr>
      <w:sz w:val="20"/>
    </w:rPr>
  </w:style>
  <w:style w:type="character" w:styleId="Style10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11" w:customStyle="1">
    <w:name w:val="Текст выноски Знак"/>
    <w:qFormat/>
    <w:rPr>
      <w:rFonts w:ascii="Tahoma" w:hAnsi="Tahoma" w:cs="Tahoma"/>
      <w:position w:val="0"/>
      <w:sz w:val="16"/>
      <w:sz w:val="16"/>
      <w:szCs w:val="16"/>
      <w:vertAlign w:val="baseline"/>
      <w:lang w:eastAsia="ru-RU"/>
    </w:rPr>
  </w:style>
  <w:style w:type="character" w:styleId="Apple-converted-space" w:customStyle="1">
    <w:name w:val="apple-converted-space"/>
    <w:basedOn w:val="DefaultParagraphFont"/>
    <w:qFormat/>
    <w:rPr>
      <w:position w:val="0"/>
      <w:sz w:val="20"/>
      <w:vertAlign w:val="baseline"/>
    </w:rPr>
  </w:style>
  <w:style w:type="character" w:styleId="Style12" w:customStyle="1">
    <w:name w:val="Верхний колонтитул Знак"/>
    <w:qFormat/>
    <w:rPr>
      <w:rFonts w:ascii="Calibri" w:hAnsi="Calibri"/>
      <w:position w:val="0"/>
      <w:sz w:val="22"/>
      <w:sz w:val="22"/>
      <w:szCs w:val="22"/>
      <w:vertAlign w:val="baseline"/>
      <w:lang w:val="ru-RU" w:eastAsia="ru-RU" w:bidi="ar-SA"/>
    </w:rPr>
  </w:style>
  <w:style w:type="character" w:styleId="Style13" w:customStyle="1">
    <w:name w:val="Нижний колонтитул Знак"/>
    <w:qFormat/>
    <w:rPr>
      <w:rFonts w:ascii="Calibri" w:hAnsi="Calibri"/>
      <w:position w:val="0"/>
      <w:sz w:val="22"/>
      <w:sz w:val="22"/>
      <w:szCs w:val="22"/>
      <w:vertAlign w:val="baseline"/>
      <w:lang w:val="ru-RU" w:eastAsia="ru-RU" w:bidi="ar-SA"/>
    </w:rPr>
  </w:style>
  <w:style w:type="character" w:styleId="14" w:customStyle="1">
    <w:name w:val="Заголовок 1 Знак"/>
    <w:qFormat/>
    <w:rPr>
      <w:rFonts w:ascii="Cambria" w:hAnsi="Cambria"/>
      <w:b/>
      <w:bCs/>
      <w:color w:val="365F91"/>
      <w:position w:val="0"/>
      <w:sz w:val="28"/>
      <w:sz w:val="28"/>
      <w:szCs w:val="28"/>
      <w:vertAlign w:val="baseline"/>
      <w:lang w:val="ru-RU" w:eastAsia="ru-RU" w:bidi="ar-SA"/>
    </w:rPr>
  </w:style>
  <w:style w:type="character" w:styleId="22" w:customStyle="1">
    <w:name w:val="Заголовок 2 Знак"/>
    <w:qFormat/>
    <w:rPr>
      <w:rFonts w:ascii="Cambria" w:hAnsi="Cambria" w:eastAsia="Times New Roman" w:cs="Times New Roman"/>
      <w:b/>
      <w:bCs/>
      <w:i/>
      <w:iCs/>
      <w:position w:val="0"/>
      <w:sz w:val="28"/>
      <w:sz w:val="28"/>
      <w:szCs w:val="28"/>
      <w:vertAlign w:val="baseline"/>
    </w:rPr>
  </w:style>
  <w:style w:type="character" w:styleId="Style14" w:customStyle="1">
    <w:name w:val="Текст сноски Знак"/>
    <w:qFormat/>
    <w:rPr>
      <w:rFonts w:ascii="Times New Roman" w:hAnsi="Times New Roman"/>
      <w:position w:val="0"/>
      <w:sz w:val="20"/>
      <w:vertAlign w:val="baselin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7162a"/>
    <w:rPr>
      <w:sz w:val="16"/>
      <w:szCs w:val="16"/>
    </w:rPr>
  </w:style>
  <w:style w:type="character" w:styleId="Style15" w:customStyle="1">
    <w:name w:val="Текст примечания Знак"/>
    <w:basedOn w:val="DefaultParagraphFont"/>
    <w:link w:val="Annotationtext"/>
    <w:uiPriority w:val="99"/>
    <w:semiHidden/>
    <w:qFormat/>
    <w:rsid w:val="00a7162a"/>
    <w:rPr>
      <w:rFonts w:ascii="Times New Roman" w:hAnsi="Times New Roman"/>
      <w:vertAlign w:val="subscript"/>
      <w:lang w:eastAsia="ru-RU"/>
    </w:rPr>
  </w:style>
  <w:style w:type="character" w:styleId="Style16" w:customStyle="1">
    <w:name w:val="Тема примечания Знак"/>
    <w:basedOn w:val="Style15"/>
    <w:link w:val="Annotationsubject"/>
    <w:uiPriority w:val="99"/>
    <w:semiHidden/>
    <w:qFormat/>
    <w:rsid w:val="00a7162a"/>
    <w:rPr>
      <w:rFonts w:ascii="Times New Roman" w:hAnsi="Times New Roman"/>
      <w:b/>
      <w:bCs/>
      <w:vertAlign w:val="subscript"/>
      <w:lang w:eastAsia="ru-RU"/>
    </w:rPr>
  </w:style>
  <w:style w:type="character" w:styleId="Style17">
    <w:name w:val="Ссылка указателя"/>
    <w:qFormat/>
    <w:rPr/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NoSpacing">
    <w:name w:val="No Spacing"/>
    <w:qFormat/>
    <w:pPr>
      <w:widowControl/>
      <w:bidi w:val="0"/>
      <w:spacing w:lineRule="atLeast" w:line="1" w:before="0" w:after="0"/>
      <w:jc w:val="left"/>
      <w:outlineLvl w:val="0"/>
    </w:pPr>
    <w:rPr>
      <w:rFonts w:ascii="Times New Roman" w:hAnsi="Times New Roman" w:eastAsia="Calibri" w:cs="Calibri"/>
      <w:color w:val="auto"/>
      <w:kern w:val="0"/>
      <w:position w:val="-1"/>
      <w:sz w:val="24"/>
      <w:szCs w:val="24"/>
      <w:lang w:eastAsia="ru-RU" w:val="ru-RU" w:bidi="ar-SA"/>
    </w:rPr>
  </w:style>
  <w:style w:type="paragraph" w:styleId="Quote">
    <w:name w:val="Quote"/>
    <w:basedOn w:val="Normal"/>
    <w:next w:val="Normal"/>
    <w:link w:val="2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1"/>
    <w:qFormat/>
    <w:pPr>
      <w:tabs>
        <w:tab w:val="clear" w:pos="720"/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paragraph" w:styleId="Footer">
    <w:name w:val="Footer"/>
    <w:basedOn w:val="Normal"/>
    <w:link w:val="12"/>
    <w:qFormat/>
    <w:pPr>
      <w:tabs>
        <w:tab w:val="clear" w:pos="720"/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paragraph" w:styleId="Caption1">
    <w:name w:val="caption1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FootnoteText">
    <w:name w:val="Footnote Text"/>
    <w:basedOn w:val="Normal"/>
    <w:link w:val="13"/>
    <w:qFormat/>
    <w:pPr/>
    <w:rPr>
      <w:sz w:val="20"/>
      <w:szCs w:val="20"/>
    </w:rPr>
  </w:style>
  <w:style w:type="paragraph" w:styleId="EndnoteText">
    <w:name w:val="Endnote Text"/>
    <w:basedOn w:val="Normal"/>
    <w:link w:val="Style9"/>
    <w:uiPriority w:val="99"/>
    <w:semiHidden/>
    <w:unhideWhenUsed/>
    <w:pPr>
      <w:spacing w:lineRule="auto" w:line="240"/>
    </w:pPr>
    <w:rPr>
      <w:sz w:val="20"/>
    </w:rPr>
  </w:style>
  <w:style w:type="paragraph" w:styleId="TOC1">
    <w:name w:val="TOC 1"/>
    <w:basedOn w:val="Normal"/>
    <w:next w:val="Normal"/>
    <w:qFormat/>
    <w:pPr/>
    <w:rPr/>
  </w:style>
  <w:style w:type="paragraph" w:styleId="TOC2">
    <w:name w:val="TOC 2"/>
    <w:basedOn w:val="Normal"/>
    <w:next w:val="Normal"/>
    <w:qFormat/>
    <w:pPr>
      <w:ind w:left="240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Style18"/>
    <w:pPr/>
    <w:rPr/>
  </w:style>
  <w:style w:type="paragraph" w:styleId="TOCHeading">
    <w:name w:val="TOC Heading"/>
    <w:basedOn w:val="Heading1"/>
    <w:next w:val="Normal"/>
    <w:qFormat/>
    <w:pPr>
      <w:outlineLvl w:val="9"/>
    </w:pPr>
    <w:rPr>
      <w:rFonts w:eastAsia="Times New Roman" w:cs="Times New Roman"/>
    </w:rPr>
  </w:style>
  <w:style w:type="paragraph" w:styleId="TableofFigures">
    <w:name w:val="Table of Figures"/>
    <w:basedOn w:val="Normal"/>
    <w:next w:val="Normal"/>
    <w:uiPriority w:val="99"/>
    <w:unhideWhenUsed/>
    <w:pPr/>
    <w:rPr/>
  </w:style>
  <w:style w:type="paragraph" w:styleId="Title">
    <w:name w:val="Title"/>
    <w:basedOn w:val="Normal"/>
    <w:next w:val="Normal"/>
    <w:link w:val="Style5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qFormat/>
    <w:pPr>
      <w:ind w:left="720"/>
    </w:pPr>
    <w:rPr/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</w:rPr>
  </w:style>
  <w:style w:type="paragraph" w:styleId="Otekstj" w:customStyle="1">
    <w:name w:val="otekstj"/>
    <w:basedOn w:val="Normal"/>
    <w:qFormat/>
    <w:pPr>
      <w:spacing w:beforeAutospacing="1" w:afterAutospacing="1"/>
    </w:pPr>
    <w:rPr>
      <w:rFonts w:eastAsia="Times New Roman"/>
    </w:rPr>
  </w:style>
  <w:style w:type="paragraph" w:styleId="NormalWeb">
    <w:name w:val="Normal (Web)"/>
    <w:basedOn w:val="Normal"/>
    <w:qFormat/>
    <w:pPr>
      <w:spacing w:beforeAutospacing="1" w:afterAutospacing="1"/>
    </w:pPr>
    <w:rPr>
      <w:rFonts w:eastAsia="Times New Roman"/>
    </w:rPr>
  </w:style>
  <w:style w:type="paragraph" w:styleId="Subtitle">
    <w:name w:val="Subtitle"/>
    <w:basedOn w:val="Normal"/>
    <w:next w:val="Normal"/>
    <w:link w:val="Style6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nnotationtext">
    <w:name w:val="annotation text"/>
    <w:basedOn w:val="Normal"/>
    <w:link w:val="Style15"/>
    <w:uiPriority w:val="99"/>
    <w:semiHidden/>
    <w:unhideWhenUsed/>
    <w:qFormat/>
    <w:rsid w:val="00a7162a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6"/>
    <w:uiPriority w:val="99"/>
    <w:semiHidden/>
    <w:unhideWhenUsed/>
    <w:qFormat/>
    <w:rsid w:val="00a7162a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qFormat/>
    <w:pPr>
      <w:spacing w:line="1" w:lineRule="atLeast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3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3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/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/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/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/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/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/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/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/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Сетка таблицы1"/>
    <w:basedOn w:val="a1"/>
    <w:qFormat/>
    <w:pPr>
      <w:spacing w:line="1" w:lineRule="atLeast"/>
    </w:pPr>
    <w:rPr>
      <w:lang w:eastAsia="en-US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Arial" pitchFamily="0" charset="1"/>
        <a:cs typeface="Arial" pitchFamily="0" charset="1"/>
      </a:majorFont>
      <a:minorFont>
        <a:latin typeface="Cambria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Application>LibreOffice/7.6.7.2$Linux_X86_64 LibreOffice_project/60$Build-2</Application>
  <AppVersion>15.0000</AppVersion>
  <Pages>9</Pages>
  <Words>1549</Words>
  <Characters>11055</Characters>
  <CharactersWithSpaces>12499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2023-10-10T08:16:00Z</dcterms:created>
  <dc:creator>Наталья Петровна Овчинникова</dc:creator>
  <dc:description/>
  <dc:language>ru-RU</dc:language>
  <cp:lastModifiedBy/>
  <dcterms:modified xsi:type="dcterms:W3CDTF">2026-01-14T11:32:35Z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