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cs="PT Astra Serif"/>
          <w:sz w:val="28"/>
          <w:szCs w:val="28"/>
        </w:rPr>
      </w:pPr>
      <w:r>
        <w:rPr>
          <w:rFonts w:hint="default" w:ascii="PT Astra Serif" w:hAnsi="PT Astra Serif" w:cs="PT Astra Serif"/>
          <w:b/>
          <w:sz w:val="28"/>
          <w:szCs w:val="28"/>
        </w:rPr>
        <w:drawing>
          <wp:inline distT="0" distB="0" distL="0" distR="0">
            <wp:extent cx="3441700" cy="13398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ОПИСАНИЕ КОМПЕТЕНЦИИ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«Программно-проектное управление»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center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2026 г.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br w:type="page"/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color w:val="000000"/>
          <w:sz w:val="28"/>
          <w:szCs w:val="28"/>
        </w:rPr>
        <w:t>Наименование компетенции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: «Программно-проектное управление»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Формат участия в соревновании</w:t>
      </w:r>
      <w:r>
        <w:rPr>
          <w:rFonts w:hint="default" w:ascii="PT Astra Serif" w:hAnsi="PT Astra Serif" w:eastAsia="Times New Roman" w:cs="PT Astra Serif"/>
          <w:sz w:val="28"/>
          <w:szCs w:val="28"/>
        </w:rPr>
        <w:t>: индивидуальный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bCs/>
          <w:sz w:val="28"/>
          <w:szCs w:val="28"/>
        </w:rPr>
      </w:pP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Описание компетенции</w:t>
      </w:r>
      <w:r>
        <w:rPr>
          <w:rFonts w:hint="default" w:ascii="PT Astra Serif" w:hAnsi="PT Astra Serif" w:eastAsia="Times New Roman" w:cs="PT Astra Serif"/>
          <w:sz w:val="28"/>
          <w:szCs w:val="28"/>
        </w:rPr>
        <w:t>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Содержание компетенции «Программно-проектное управление» (бывш. 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 xml:space="preserve">«Управление жизненным циклом/ Управление программой»)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предполагает развитие комплекса навыков, который позволит специалистам, занятым в области проектной деятельности, системно подходить к разработке и реализации различных проектов или программ (разработка нового продукта, орг. трансформация, рационализаторские, инфраструктурные и другие проекты). Механика компетенции позволяет оценить эффективность работы руководителя проекта в области сбора информации, анализа данных и потребностей стейкхолдеров/заказчиков, системного мышления, проектной деятельности, упаковки информации, коммуникации, системного проектирования разработок.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Компетенция предполагает комплексную работу по формированию и структурированию первичных проектных концепций по заданному конкурсному заданию (КЗ). Тематика проектных разработок может быть различной, в зависимости от специфики деятельности организаций, направляющих участников. При этом важно понимать, что в процессе разработки учитывается весь жизненный цикл проекта, включающий: анализ потребностей рынка и потенциальных заказчиков, стейкхолдеров, разработку концепции проекта, проектирование финансовой модели, HR-составляющей и анализа необходимых компетенций для реализации проекта, формирования дорожной карты и проведения первичного анализа рынков и возможностей развития и масштабирования проекта и т.д.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Содержание компетенции соответствует специальности среднего профессионального образования 27.02.07 Управление качеством продукции, процессов и услуг (по отраслям). Также компетенция включает в себя перечень умений и навыков, необходимых для структурирования и проработки проектов сотрудниками предприятий различных отраслей.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Компетенция является индивидуальной и предполагает подготовку проектным лидером первичной концепции проекта.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Актуальность компетенции обусловлена сложившейся мировой практикой работы бизнес-среды. В условиях перехода высокотехнологичных отраслей от предприятий полного цикла к системной интеграции, необходимо готовить специалистов новой формации, которые обладают не только специальными инженерными, конструкторскими, технологическими, экономическими знаниями, но и понимают этапы развития жизненного цикла и логику запуска и управления проектами, умеют работать в мультизадачной среде, эффективно интегрируют существующие процессы и информацию в единую систему, умеют находить решение сложных, многофакторных задач, обладают развитыми навыками коммуникационного взаимодействия, критическим мышлением и навыками организационного проектирования.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Кроме того, подходы программно-проектного управления позволяют предприятиям и глобальным корпорациям более эффективно выстраивать бизнес-процессы и гибко принимать решения в изменяющихся условиях окружающей среды.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В компетенции учитываются международные и национальные стандарты в области управления проектами: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  <w:lang w:val="en-US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en-US"/>
        </w:rPr>
        <w:t>PMBOK (Project Management Body of Knowledge)</w:t>
      </w:r>
      <w:r>
        <w:rPr>
          <w:rFonts w:hint="default" w:ascii="PT Astra Serif" w:hAnsi="PT Astra Serif" w:eastAsia="Times New Roman" w:cs="PT Astra Serif"/>
          <w:sz w:val="28"/>
          <w:szCs w:val="28"/>
          <w:lang w:val="en-US"/>
        </w:rPr>
        <w:t xml:space="preserve"> PMI;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P2M</w:t>
      </w:r>
      <w:r>
        <w:rPr>
          <w:rFonts w:hint="default" w:ascii="PT Astra Serif" w:hAnsi="PT Astra Serif" w:eastAsia="Times New Roman" w:cs="PT Astra Serif"/>
          <w:sz w:val="28"/>
          <w:szCs w:val="28"/>
        </w:rPr>
        <w:t>, разработанный японской Ассоциацией управления проектами PMAJ;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ICB</w:t>
      </w:r>
      <w:r>
        <w:rPr>
          <w:rFonts w:hint="default" w:ascii="PT Astra Serif" w:hAnsi="PT Astra Serif" w:eastAsia="Times New Roman" w:cs="PT Astra Serif"/>
          <w:sz w:val="28"/>
          <w:szCs w:val="28"/>
        </w:rPr>
        <w:t> от международной ассоциации IPMA;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ISO 21500</w:t>
      </w:r>
      <w:r>
        <w:rPr>
          <w:rFonts w:hint="default" w:ascii="PT Astra Serif" w:hAnsi="PT Astra Serif" w:eastAsia="Times New Roman" w:cs="PT Astra Serif"/>
          <w:sz w:val="28"/>
          <w:szCs w:val="28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ГОСТ Р 54869-2011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Включает перечень основных терминов и важных определений менеджмента, используемых в России. Базируется на стандарте ISO 21500:2012, учитывает терминологию других международных и национальных документов;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ГОСТ Р 54870</w:t>
      </w:r>
      <w:r>
        <w:rPr>
          <w:rFonts w:hint="default" w:ascii="PT Astra Serif" w:hAnsi="PT Astra Serif" w:eastAsia="Times New Roman" w:cs="PT Astra Serif"/>
          <w:sz w:val="28"/>
          <w:szCs w:val="28"/>
        </w:rPr>
        <w:t>. Содержит описание основных процессов менеджмента, используемых в России. Базируется на стандарте ISO 21500:2012, учитывает процессы других международных и национальных стандартов.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ГОСТ Р ИСО 10006-2008</w:t>
      </w:r>
      <w:r>
        <w:rPr>
          <w:rFonts w:hint="default" w:ascii="PT Astra Serif" w:hAnsi="PT Astra Serif" w:eastAsia="Times New Roman" w:cs="PT Astra Serif"/>
          <w:sz w:val="28"/>
          <w:szCs w:val="28"/>
        </w:rPr>
        <w:t xml:space="preserve">. Включает рекомендации и требования по планированию, реализации, контролю и повышению уровня показателей качества продукта или сервиса. Является переводом и адаптацией международного стандарта ISO 10006:2003.  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 xml:space="preserve">«СОВНЕТ» </w:t>
      </w:r>
      <w:r>
        <w:rPr>
          <w:rFonts w:hint="default" w:ascii="PT Astra Serif" w:hAnsi="PT Astra Serif" w:eastAsia="Times New Roman" w:cs="PT Astra Serif"/>
          <w:sz w:val="28"/>
          <w:szCs w:val="28"/>
        </w:rPr>
        <w:t>(Россия), «Управление проектами: основы профессиональных знаний: национальные требования к компетенции (НТК) специалистов» (2001), а также образовательный стандарт ФГОС СПО специальности 27.02.07 Управление качеством продукции, процессов и услуг (по отраслям).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В целом компетенция является универсальным инструментом, в том числе, применима для сотрудников проектных и исследовательских инженерных офисов, промышленных предприятий, других организаций бизнес-среды, студентов высших учебных заведений (ВУЗ), профессиональных образовательных учреждений (СПО), школ.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b/>
          <w:smallCaps/>
          <w:sz w:val="28"/>
          <w:szCs w:val="28"/>
          <w:lang w:val="ru-RU"/>
        </w:rPr>
      </w:pPr>
      <w:bookmarkStart w:id="0" w:name="_heading=h.gjdgxs" w:colFirst="0" w:colLast="0"/>
      <w:bookmarkEnd w:id="0"/>
      <w:r>
        <w:rPr>
          <w:rFonts w:hint="default" w:ascii="PT Astra Serif" w:hAnsi="PT Astra Serif" w:eastAsia="Times New Roman" w:cs="PT Astra Serif"/>
          <w:b/>
          <w:sz w:val="28"/>
          <w:szCs w:val="28"/>
        </w:rPr>
        <w:t>Нормативные правовые акты</w:t>
      </w:r>
      <w:r>
        <w:rPr>
          <w:rFonts w:hint="default" w:ascii="PT Astra Serif" w:hAnsi="PT Astra Serif" w:eastAsia="Times New Roman" w:cs="PT Astra Serif"/>
          <w:b/>
          <w:sz w:val="28"/>
          <w:szCs w:val="28"/>
          <w:lang w:val="ru-RU"/>
        </w:rPr>
        <w:t>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>
      <w:pPr>
        <w:pStyle w:val="19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jc w:val="both"/>
        <w:textAlignment w:val="auto"/>
        <w:rPr>
          <w:rFonts w:hint="default" w:ascii="PT Astra Serif" w:hAnsi="PT Astra Serif" w:eastAsia="Times New Roman" w:cs="PT Astra Serif"/>
          <w:b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ФГОС СПО</w:t>
      </w:r>
      <w:r>
        <w:rPr>
          <w:rFonts w:hint="default" w:ascii="PT Astra Serif" w:hAnsi="PT Astra Serif" w:eastAsia="Times New Roman" w:cs="PT Astra Serif"/>
          <w:b/>
          <w:sz w:val="28"/>
          <w:szCs w:val="28"/>
          <w:lang w:val="ru-RU"/>
        </w:rPr>
        <w:t>: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27.02.07 Управление качеством продукции, процессов и услуг (по отраслям) от 9 декабря 2016 г. № 1557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  <w:lang w:val="ru-RU"/>
        </w:rPr>
        <w:t>.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jc w:val="both"/>
        <w:textAlignment w:val="auto"/>
        <w:rPr>
          <w:rFonts w:hint="default" w:ascii="PT Astra Serif" w:hAnsi="PT Astra Serif" w:eastAsia="Times New Roman" w:cs="PT Astra Serif"/>
          <w:b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sz w:val="28"/>
          <w:szCs w:val="28"/>
        </w:rPr>
        <w:t>Профессиональные стандарты</w:t>
      </w:r>
      <w:r>
        <w:rPr>
          <w:rFonts w:hint="default" w:ascii="PT Astra Serif" w:hAnsi="PT Astra Serif" w:eastAsia="Times New Roman" w:cs="PT Astra Serif"/>
          <w:b/>
          <w:sz w:val="28"/>
          <w:szCs w:val="28"/>
          <w:lang w:val="ru-RU"/>
        </w:rPr>
        <w:t>:</w:t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"http://okpdtr.ru/kod-21477-direktor-po-kadram-i-bytu"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sz w:val="28"/>
          <w:szCs w:val="28"/>
        </w:rPr>
        <w:t>40.062</w:t>
      </w:r>
      <w:r>
        <w:rPr>
          <w:rFonts w:hint="default" w:ascii="PT Astra Serif" w:hAnsi="PT Astra Serif" w:eastAsia="Times New Roman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 xml:space="preserve"> 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"http://okpdtr.ru/kod-21477-direktor-po-kadram-i-bytu"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sz w:val="28"/>
          <w:szCs w:val="28"/>
        </w:rPr>
        <w:t>Специалист по качеству</w:t>
      </w:r>
      <w:r>
        <w:rPr>
          <w:rFonts w:hint="default" w:ascii="PT Astra Serif" w:hAnsi="PT Astra Serif" w:eastAsia="Times New Roman" w:cs="PT Astra Serif"/>
          <w:sz w:val="28"/>
          <w:szCs w:val="28"/>
        </w:rPr>
        <w:fldChar w:fldCharType="end"/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"http://okpdtr.ru/kod-21477-direktor-po-kadram-i-bytu"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fldChar w:fldCharType="end"/>
      </w:r>
      <w:r>
        <w:rPr>
          <w:rFonts w:hint="default" w:ascii="PT Astra Serif" w:hAnsi="PT Astra Serif" w:eastAsia="Times New Roman" w:cs="PT Astra Serif"/>
          <w:sz w:val="28"/>
          <w:szCs w:val="28"/>
        </w:rPr>
        <w:t>Также к участию в соревновании по данной компетенции могут быть включены представители (обучающиеся) по специальностям и направлениям, в программе подготовке которых присутствует блок, касающийся проектной деятельности, т.е., студенты, для которых компетенции из области программно-проектного управления необходимы для полноценного осуществления будущей профессиональной деятельности.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Отраслевые/корпоративные стандарты</w:t>
      </w: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  <w:t>: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Стандарты управления проектами и разработки продуктов в рамках корпоративного управления (ГК «Ростех», ГК «Росатом», ГК «Роскосмос», ОСК и др.)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Квалификационные характеристики (профессиограмма)</w:t>
      </w:r>
      <w:r>
        <w:rPr>
          <w:rFonts w:hint="default" w:ascii="PT Astra Serif" w:hAnsi="PT Astra Serif" w:eastAsia="Times New Roman" w:cs="PT Astra Serif"/>
          <w:b/>
          <w:bCs/>
          <w:sz w:val="28"/>
          <w:szCs w:val="28"/>
          <w:lang w:val="ru-RU"/>
        </w:rPr>
        <w:t>: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В рамках компетенции предполагается работа кроссфункциональной команды.</w:t>
      </w:r>
    </w:p>
    <w:p>
      <w:pPr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b/>
          <w:bCs/>
          <w:sz w:val="28"/>
          <w:szCs w:val="28"/>
          <w:vertAlign w:val="subscript"/>
        </w:rPr>
      </w:pPr>
      <w:r>
        <w:rPr>
          <w:rFonts w:hint="default" w:ascii="PT Astra Serif" w:hAnsi="PT Astra Serif" w:eastAsia="Times New Roman" w:cs="PT Astra Serif"/>
          <w:b/>
          <w:bCs/>
          <w:sz w:val="28"/>
          <w:szCs w:val="28"/>
        </w:rPr>
        <w:t>ГОСТы: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"http://openplanning.ru/training/source.html"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ИСО 21500-2014 «Руководство по проектному менеджменту»;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"http://openplanning.ru/documents/GOST-R-54869-2011.pdf"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54869-2011 «Проектный менеджмент. Требования к управлению проектом»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t xml:space="preserve">Национальный стандарт Российской Федерации </w:t>
      </w: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"http://openplanning.ru/documents/GOST-R-54870-2011.pdf"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ГОСТ Р 54870-2011 «Проектный менеджмент. Требования к управлению портфелем проектов»;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4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cs="PT Astra Serif"/>
          <w:sz w:val="28"/>
          <w:szCs w:val="28"/>
        </w:rPr>
        <w:fldChar w:fldCharType="begin"/>
      </w:r>
      <w:r>
        <w:rPr>
          <w:rFonts w:hint="default" w:ascii="PT Astra Serif" w:hAnsi="PT Astra Serif" w:cs="PT Astra Serif"/>
          <w:sz w:val="28"/>
          <w:szCs w:val="28"/>
        </w:rPr>
        <w:instrText xml:space="preserve"> HYPERLINK "http://openplanning.ru/documents/GOST-R-54871-2011.pdf" \h </w:instrText>
      </w:r>
      <w:r>
        <w:rPr>
          <w:rFonts w:hint="default" w:ascii="PT Astra Serif" w:hAnsi="PT Astra Serif" w:cs="PT Astra Serif"/>
          <w:sz w:val="28"/>
          <w:szCs w:val="28"/>
        </w:rPr>
        <w:fldChar w:fldCharType="separate"/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Национальный стандарт Российской Федерации ГОСТ Р 54871-2011 «Проектный менеджмент. Требования к управлению программой»</w:t>
      </w: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fldChar w:fldCharType="end"/>
      </w:r>
    </w:p>
    <w:p>
      <w:pPr>
        <w:pStyle w:val="19"/>
        <w:keepLines w:val="0"/>
        <w:pageBreakBefore w:val="0"/>
        <w:widowControl/>
        <w:numPr>
          <w:ilvl w:val="0"/>
          <w:numId w:val="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jc w:val="both"/>
        <w:textAlignment w:val="auto"/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</w:rPr>
        <w:t>Профессиональные стандарты</w:t>
      </w:r>
      <w:r>
        <w:rPr>
          <w:rFonts w:hint="default" w:ascii="PT Astra Serif" w:hAnsi="PT Astra Serif" w:eastAsia="Times New Roman" w:cs="PT Astra Serif"/>
          <w:b/>
          <w:bCs/>
          <w:color w:val="000000"/>
          <w:sz w:val="28"/>
          <w:szCs w:val="28"/>
          <w:lang w:val="ru-RU"/>
        </w:rPr>
        <w:t>: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Профессиональный стандарт «Маркетолог» 08.035, утвержденный приказом Министерства труда и социальной защиты РФ от 04 июня 2018г., №336Н;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Профессиональный стандарт «Специалист по работе с инвестиционными проектами» 08.036, утвержденный приказом Министерства труда и социальной защиты Российской Федерации от 16 апреля 2018 г. N239Н;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850" w:firstLineChars="0"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  <w:r>
        <w:rPr>
          <w:rFonts w:hint="default" w:ascii="PT Astra Serif" w:hAnsi="PT Astra Serif" w:eastAsia="Times New Roman" w:cs="PT Astra Serif"/>
          <w:color w:val="000000"/>
          <w:sz w:val="28"/>
          <w:szCs w:val="28"/>
        </w:rPr>
        <w:t>Профессиональный стандарт: 08.0412 «Специалист в сфере управления проектами государственно-частного партнерства» и др.</w:t>
      </w:r>
    </w:p>
    <w:p>
      <w:pPr>
        <w:keepLines w:val="0"/>
        <w:pageBreakBefore w:val="0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r>
        <w:rPr>
          <w:rFonts w:hint="default" w:ascii="PT Astra Serif" w:hAnsi="PT Astra Serif" w:eastAsia="Times New Roman" w:cs="PT Astra Serif"/>
          <w:sz w:val="28"/>
          <w:szCs w:val="28"/>
        </w:rPr>
        <w:t>Перечень профессиональных задач специалиста по компетенции</w:t>
      </w:r>
      <w:r>
        <w:rPr>
          <w:rFonts w:hint="default" w:ascii="PT Astra Serif" w:hAnsi="PT Astra Serif" w:eastAsia="Times New Roman" w:cs="PT Astra Serif"/>
          <w:b/>
          <w:sz w:val="28"/>
          <w:szCs w:val="28"/>
        </w:rPr>
        <w:t xml:space="preserve"> </w:t>
      </w:r>
      <w:r>
        <w:rPr>
          <w:rFonts w:hint="default" w:ascii="PT Astra Serif" w:hAnsi="PT Astra Serif" w:eastAsia="Times New Roman" w:cs="PT Astra Serif"/>
          <w:sz w:val="28"/>
          <w:szCs w:val="28"/>
        </w:rPr>
        <w:t>базируется на требованиях современного рынка труда к руководителю/менеджеру/лидеру проекта или программы.</w:t>
      </w:r>
    </w:p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sz w:val="28"/>
          <w:szCs w:val="28"/>
        </w:rPr>
      </w:pPr>
      <w:bookmarkStart w:id="1" w:name="_GoBack"/>
      <w:bookmarkEnd w:id="1"/>
    </w:p>
    <w:tbl>
      <w:tblPr>
        <w:tblStyle w:val="9"/>
        <w:tblW w:w="9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3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2D050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92D050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Организация работы, техника безопасности и охрана труда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Менеджмент и управление личной эффективностью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Технологии и инструменты программно-проектного управления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Маркетинг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Технология управления персоналом в проектах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Экономика и финансы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Коммуникация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center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8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before="0" w:after="0" w:line="360" w:lineRule="auto"/>
              <w:contextualSpacing/>
              <w:jc w:val="both"/>
              <w:rPr>
                <w:rFonts w:hint="default" w:ascii="PT Astra Serif" w:hAnsi="PT Astra Serif" w:cs="PT Astra Serif"/>
                <w:sz w:val="28"/>
                <w:szCs w:val="28"/>
              </w:rPr>
            </w:pPr>
            <w:r>
              <w:rPr>
                <w:rFonts w:hint="default" w:ascii="PT Astra Serif" w:hAnsi="PT Astra Serif" w:eastAsia="Times New Roman" w:cs="PT Astra Serif"/>
                <w:bCs/>
                <w:color w:val="000000"/>
                <w:sz w:val="28"/>
                <w:szCs w:val="28"/>
              </w:rPr>
              <w:t>Программное обеспечение, документация и работа с информацией</w:t>
            </w:r>
          </w:p>
        </w:tc>
      </w:tr>
    </w:tbl>
    <w:p>
      <w:pPr>
        <w:keepNext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iCs/>
          <w:sz w:val="28"/>
          <w:szCs w:val="28"/>
        </w:rPr>
      </w:pPr>
    </w:p>
    <w:p>
      <w:pPr>
        <w:keepLines w:val="0"/>
        <w:pageBreakBefore w:val="0"/>
        <w:widowControl/>
        <w:tabs>
          <w:tab w:val="left" w:pos="35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850"/>
        <w:contextualSpacing/>
        <w:jc w:val="both"/>
        <w:textAlignment w:val="auto"/>
        <w:rPr>
          <w:rFonts w:hint="default" w:ascii="PT Astra Serif" w:hAnsi="PT Astra Serif" w:eastAsia="Times New Roman" w:cs="PT Astra Serif"/>
          <w:color w:val="000000"/>
          <w:sz w:val="28"/>
          <w:szCs w:val="28"/>
        </w:rPr>
      </w:pPr>
    </w:p>
    <w:sectPr>
      <w:pgSz w:w="11906" w:h="16838"/>
      <w:pgMar w:top="1134" w:right="851" w:bottom="1134" w:left="1701" w:header="709" w:footer="709" w:gutter="0"/>
      <w:pgNumType w:start="1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CC"/>
    <w:family w:val="swiss"/>
    <w:pitch w:val="default"/>
    <w:sig w:usb0="00000000" w:usb1="00000000" w:usb2="00000009" w:usb3="00000000" w:csb0="000001FF" w:csb1="00000000"/>
  </w:font>
  <w:font w:name="Arial">
    <w:altName w:val="DejaVu Sans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Georgia">
    <w:altName w:val="FreeSerif"/>
    <w:panose1 w:val="02040502050405020303"/>
    <w:charset w:val="CC"/>
    <w:family w:val="roman"/>
    <w:pitch w:val="default"/>
    <w:sig w:usb0="00000000" w:usb1="00000000" w:usb2="00000000" w:usb3="00000000" w:csb0="0000009F" w:csb1="00000000"/>
  </w:font>
  <w:font w:name="FreeSerif">
    <w:panose1 w:val="02020603050405020304"/>
    <w:charset w:val="00"/>
    <w:family w:val="auto"/>
    <w:pitch w:val="default"/>
    <w:sig w:usb0="E59FAFFF" w:usb1="C200FDFF" w:usb2="43501B29" w:usb3="04000003" w:csb0="6001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ourier New">
    <w:altName w:val="DejaVu Sans"/>
    <w:panose1 w:val="02070309020205020404"/>
    <w:charset w:val="CC"/>
    <w:family w:val="modern"/>
    <w:pitch w:val="default"/>
    <w:sig w:usb0="00000000" w:usb1="00000000" w:usb2="00000009" w:usb3="00000000" w:csb0="000001FF" w:csb1="00000000"/>
  </w:font>
  <w:font w:name="Wingdings">
    <w:altName w:val="OpenSymbol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Noto Sans Symbols">
    <w:panose1 w:val="020B0502040504020204"/>
    <w:charset w:val="00"/>
    <w:family w:val="auto"/>
    <w:pitch w:val="default"/>
    <w:sig w:usb0="00000003" w:usb1="0200E4B4" w:usb2="00000000" w:usb3="00000000" w:csb0="00000001" w:csb1="00000000"/>
  </w:font>
  <w:font w:name="PT Astra Serif">
    <w:panose1 w:val="020A0603040505020204"/>
    <w:charset w:val="00"/>
    <w:family w:val="auto"/>
    <w:pitch w:val="default"/>
    <w:sig w:usb0="A00002EF" w:usb1="5000204B" w:usb2="00000020" w:usb3="00000000" w:csb0="20000097" w:csb1="00000000"/>
  </w:font>
  <w:font w:name="PT Astra Fact">
    <w:panose1 w:val="020B0503040504020204"/>
    <w:charset w:val="00"/>
    <w:family w:val="auto"/>
    <w:pitch w:val="default"/>
    <w:sig w:usb0="A00002FF" w:usb1="5000207B" w:usb2="00000020" w:usb3="00000000" w:csb0="20000097" w:csb1="00000000"/>
  </w:font>
  <w:font w:name="Symbol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2B8214"/>
    <w:multiLevelType w:val="singleLevel"/>
    <w:tmpl w:val="8B2B8214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FF9B05A6"/>
    <w:multiLevelType w:val="singleLevel"/>
    <w:tmpl w:val="FF9B05A6"/>
    <w:lvl w:ilvl="0" w:tentative="0">
      <w:start w:val="1"/>
      <w:numFmt w:val="bullet"/>
      <w:lvlText w:val="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2CA15052"/>
    <w:multiLevelType w:val="multilevel"/>
    <w:tmpl w:val="2CA1505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58587BE2"/>
    <w:multiLevelType w:val="multilevel"/>
    <w:tmpl w:val="58587BE2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nsid w:val="72003AA9"/>
    <w:multiLevelType w:val="multilevel"/>
    <w:tmpl w:val="72003AA9"/>
    <w:lvl w:ilvl="0" w:tentative="0">
      <w:start w:val="1"/>
      <w:numFmt w:val="decimal"/>
      <w:pStyle w:val="25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>
    <w:nsid w:val="7F5FC5F6"/>
    <w:multiLevelType w:val="singleLevel"/>
    <w:tmpl w:val="7F5FC5F6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E0"/>
    <w:rsid w:val="00067F88"/>
    <w:rsid w:val="00077C76"/>
    <w:rsid w:val="000A528B"/>
    <w:rsid w:val="000E111E"/>
    <w:rsid w:val="00145874"/>
    <w:rsid w:val="00176C38"/>
    <w:rsid w:val="002574C1"/>
    <w:rsid w:val="0029685B"/>
    <w:rsid w:val="002E49ED"/>
    <w:rsid w:val="003079F7"/>
    <w:rsid w:val="00376238"/>
    <w:rsid w:val="00442394"/>
    <w:rsid w:val="00537D21"/>
    <w:rsid w:val="005435ED"/>
    <w:rsid w:val="00587045"/>
    <w:rsid w:val="005A4668"/>
    <w:rsid w:val="006316E0"/>
    <w:rsid w:val="0065235D"/>
    <w:rsid w:val="006635AE"/>
    <w:rsid w:val="00692C67"/>
    <w:rsid w:val="006F04BD"/>
    <w:rsid w:val="00764D8D"/>
    <w:rsid w:val="0080441A"/>
    <w:rsid w:val="00827621"/>
    <w:rsid w:val="00897B61"/>
    <w:rsid w:val="008A64FA"/>
    <w:rsid w:val="008E0960"/>
    <w:rsid w:val="008E7308"/>
    <w:rsid w:val="009E3057"/>
    <w:rsid w:val="00A21281"/>
    <w:rsid w:val="00A25AE8"/>
    <w:rsid w:val="00A619B6"/>
    <w:rsid w:val="00A72D6E"/>
    <w:rsid w:val="00C502A7"/>
    <w:rsid w:val="00C65DEA"/>
    <w:rsid w:val="00CF37AF"/>
    <w:rsid w:val="00D15716"/>
    <w:rsid w:val="00D47CDE"/>
    <w:rsid w:val="00D55F99"/>
    <w:rsid w:val="00D5660A"/>
    <w:rsid w:val="00D87434"/>
    <w:rsid w:val="00D949C2"/>
    <w:rsid w:val="00D94E9C"/>
    <w:rsid w:val="00D954D3"/>
    <w:rsid w:val="00E72044"/>
    <w:rsid w:val="00F907A6"/>
    <w:rsid w:val="00FD3FA2"/>
    <w:rsid w:val="B1DB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3">
    <w:name w:val="heading 2"/>
    <w:basedOn w:val="1"/>
    <w:next w:val="1"/>
    <w:link w:val="27"/>
    <w:unhideWhenUsed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spacing w:before="220" w:after="40"/>
      <w:outlineLvl w:val="4"/>
    </w:pPr>
    <w:rPr>
      <w:b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8"/>
    <w:semiHidden/>
    <w:unhideWhenUsed/>
    <w:qFormat/>
    <w:uiPriority w:val="99"/>
    <w:rPr>
      <w:vertAlign w:val="superscript"/>
    </w:rPr>
  </w:style>
  <w:style w:type="character" w:styleId="11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Strong"/>
    <w:basedOn w:val="8"/>
    <w:qFormat/>
    <w:uiPriority w:val="22"/>
    <w:rPr>
      <w:b/>
      <w:bCs/>
    </w:rPr>
  </w:style>
  <w:style w:type="paragraph" w:styleId="13">
    <w:name w:val="footnote text"/>
    <w:basedOn w:val="1"/>
    <w:link w:val="24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4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5">
    <w:name w:val="Title"/>
    <w:basedOn w:val="1"/>
    <w:next w:val="1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6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7">
    <w:name w:val="Subtitle"/>
    <w:basedOn w:val="1"/>
    <w:next w:val="1"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customStyle="1" w:styleId="18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9">
    <w:name w:val="List Paragraph"/>
    <w:basedOn w:val="1"/>
    <w:link w:val="20"/>
    <w:qFormat/>
    <w:uiPriority w:val="34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20">
    <w:name w:val="Абзац списка Знак"/>
    <w:basedOn w:val="8"/>
    <w:link w:val="19"/>
    <w:qFormat/>
    <w:uiPriority w:val="34"/>
    <w:rPr>
      <w:rFonts w:ascii="Calibri" w:hAnsi="Calibri" w:eastAsia="Calibri" w:cs="Times New Roman"/>
    </w:rPr>
  </w:style>
  <w:style w:type="character" w:customStyle="1" w:styleId="21">
    <w:name w:val="Верхний колонтитул Знак"/>
    <w:basedOn w:val="8"/>
    <w:link w:val="14"/>
    <w:qFormat/>
    <w:uiPriority w:val="99"/>
  </w:style>
  <w:style w:type="character" w:customStyle="1" w:styleId="22">
    <w:name w:val="Нижний колонтитул Знак"/>
    <w:basedOn w:val="8"/>
    <w:link w:val="16"/>
    <w:qFormat/>
    <w:uiPriority w:val="99"/>
  </w:style>
  <w:style w:type="character" w:customStyle="1" w:styleId="23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4">
    <w:name w:val="Текст сноски Знак"/>
    <w:basedOn w:val="8"/>
    <w:link w:val="13"/>
    <w:semiHidden/>
    <w:qFormat/>
    <w:uiPriority w:val="99"/>
    <w:rPr>
      <w:rFonts w:ascii="Calibri" w:hAnsi="Calibri" w:eastAsia="Calibri" w:cs="Calibri"/>
      <w:sz w:val="20"/>
      <w:szCs w:val="20"/>
      <w:lang w:eastAsia="ru-RU"/>
    </w:rPr>
  </w:style>
  <w:style w:type="paragraph" w:customStyle="1" w:styleId="25">
    <w:name w:val="Sp1"/>
    <w:basedOn w:val="1"/>
    <w:qFormat/>
    <w:uiPriority w:val="0"/>
    <w:pPr>
      <w:numPr>
        <w:ilvl w:val="0"/>
        <w:numId w:val="1"/>
      </w:numPr>
      <w:spacing w:after="120" w:line="240" w:lineRule="auto"/>
      <w:ind w:left="1135" w:hanging="284"/>
      <w:contextualSpacing/>
    </w:pPr>
    <w:rPr>
      <w:rFonts w:ascii="Arial" w:hAnsi="Arial" w:cs="Arial"/>
      <w:sz w:val="20"/>
      <w:lang w:val="en-US"/>
    </w:rPr>
  </w:style>
  <w:style w:type="paragraph" w:customStyle="1" w:styleId="26">
    <w:name w:val="SpBlue1"/>
    <w:basedOn w:val="25"/>
    <w:qFormat/>
    <w:uiPriority w:val="0"/>
    <w:pPr>
      <w:spacing w:after="0"/>
      <w:ind w:left="1065" w:hanging="705"/>
      <w:contextualSpacing w:val="0"/>
    </w:pPr>
    <w:rPr>
      <w:color w:val="62B5E5"/>
    </w:rPr>
  </w:style>
  <w:style w:type="character" w:customStyle="1" w:styleId="27">
    <w:name w:val="Заголовок 2 Знак"/>
    <w:basedOn w:val="8"/>
    <w:link w:val="3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table" w:customStyle="1" w:styleId="28">
    <w:name w:val="_Style 26"/>
    <w:basedOn w:val="18"/>
    <w:qFormat/>
    <w:uiPriority w:val="0"/>
    <w:tblPr>
      <w:tblCellMar>
        <w:left w:w="115" w:type="dxa"/>
        <w:right w:w="115" w:type="dxa"/>
      </w:tblCellMar>
    </w:tblPr>
  </w:style>
  <w:style w:type="paragraph" w:customStyle="1" w:styleId="29">
    <w:name w:val="futurismarkdown-listitem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futurismarkdown-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1155</Words>
  <Characters>6584</Characters>
  <Lines>54</Lines>
  <Paragraphs>15</Paragraphs>
  <TotalTime>0</TotalTime>
  <ScaleCrop>false</ScaleCrop>
  <LinksUpToDate>false</LinksUpToDate>
  <CharactersWithSpaces>7724</CharactersWithSpaces>
  <Application>WPS Office_11.1.0.11723_F1E327BC-269C-435d-A152-05C5408002CA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2025-10-01T11:50:00Z</dcterms:created>
  <dc:creator>ЙОСТ3</dc:creator>
  <cp:lastModifiedBy>user</cp:lastModifiedBy>
  <dcterms:modified xsi:type="dcterms:W3CDTF">2026-01-14T09:23:35Z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