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contextualSpacing/>
        <w:rPr>
          <w:rFonts w:hint="default" w:ascii="PT Astra Serif" w:hAnsi="PT Astra Serif" w:cs="PT Astra Serif"/>
          <w:sz w:val="72"/>
          <w:szCs w:val="72"/>
        </w:rPr>
      </w:pPr>
      <w:r>
        <w:rPr>
          <w:rFonts w:hint="default" w:ascii="PT Astra Serif" w:hAnsi="PT Astra Serif" w:cs="PT Astra Serif"/>
          <w:b/>
          <w:sz w:val="72"/>
          <w:szCs w:val="72"/>
        </w:rPr>
        <w:drawing>
          <wp:inline distT="0" distB="0" distL="0" distR="0">
            <wp:extent cx="3441700" cy="1339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72"/>
          <w:szCs w:val="72"/>
        </w:rPr>
      </w:pPr>
    </w:p>
    <w:p>
      <w:pPr>
        <w:spacing w:after="0" w:line="276" w:lineRule="auto"/>
        <w:contextualSpacing/>
        <w:rPr>
          <w:rFonts w:hint="default" w:ascii="PT Astra Serif" w:hAnsi="PT Astra Serif" w:cs="PT Astra Serif"/>
          <w:sz w:val="72"/>
          <w:szCs w:val="72"/>
        </w:rPr>
      </w:pPr>
    </w:p>
    <w:p>
      <w:pPr>
        <w:spacing w:after="0" w:line="276" w:lineRule="auto"/>
        <w:contextualSpacing/>
        <w:jc w:val="center"/>
        <w:rPr>
          <w:rFonts w:hint="default" w:ascii="PT Astra Serif" w:hAnsi="PT Astra Serif" w:eastAsia="Times New Roman" w:cs="PT Astra Serif"/>
          <w:sz w:val="72"/>
          <w:szCs w:val="72"/>
        </w:rPr>
      </w:pPr>
      <w:r>
        <w:rPr>
          <w:rFonts w:hint="default" w:ascii="PT Astra Serif" w:hAnsi="PT Astra Serif" w:eastAsia="Times New Roman" w:cs="PT Astra Serif"/>
          <w:sz w:val="72"/>
          <w:szCs w:val="72"/>
        </w:rPr>
        <w:t xml:space="preserve">ОПИСАНИЕ </w:t>
      </w:r>
    </w:p>
    <w:p>
      <w:pPr>
        <w:spacing w:after="0" w:line="276" w:lineRule="auto"/>
        <w:contextualSpacing/>
        <w:jc w:val="center"/>
        <w:rPr>
          <w:rFonts w:hint="default" w:ascii="PT Astra Serif" w:hAnsi="PT Astra Serif" w:eastAsia="Times New Roman" w:cs="PT Astra Serif"/>
          <w:sz w:val="72"/>
          <w:szCs w:val="72"/>
        </w:rPr>
      </w:pPr>
      <w:r>
        <w:rPr>
          <w:rFonts w:hint="default" w:ascii="PT Astra Serif" w:hAnsi="PT Astra Serif" w:eastAsia="Times New Roman" w:cs="PT Astra Serif"/>
          <w:sz w:val="72"/>
          <w:szCs w:val="72"/>
        </w:rPr>
        <w:t>КОМПЕТЕНЦИИ</w:t>
      </w:r>
    </w:p>
    <w:p>
      <w:pPr>
        <w:spacing w:after="0" w:line="276" w:lineRule="auto"/>
        <w:contextualSpacing/>
        <w:jc w:val="center"/>
        <w:rPr>
          <w:rFonts w:hint="default" w:ascii="PT Astra Serif" w:hAnsi="PT Astra Serif" w:eastAsia="Times New Roman" w:cs="PT Astra Serif"/>
          <w:sz w:val="56"/>
          <w:szCs w:val="56"/>
        </w:rPr>
      </w:pPr>
      <w:r>
        <w:rPr>
          <w:rFonts w:hint="default" w:ascii="PT Astra Serif" w:hAnsi="PT Astra Serif" w:eastAsia="Times New Roman" w:cs="PT Astra Serif"/>
          <w:sz w:val="56"/>
          <w:szCs w:val="56"/>
        </w:rPr>
        <w:t>«Программно-проектное</w:t>
      </w:r>
      <w:r>
        <w:rPr>
          <w:rFonts w:hint="default" w:ascii="PT Astra Serif" w:hAnsi="PT Astra Serif" w:eastAsia="Times New Roman" w:cs="PT Astra Serif"/>
          <w:sz w:val="56"/>
          <w:szCs w:val="56"/>
          <w:lang w:val="ru-RU"/>
        </w:rPr>
        <w:t xml:space="preserve"> </w:t>
      </w:r>
      <w:r>
        <w:rPr>
          <w:rFonts w:hint="default" w:ascii="PT Astra Serif" w:hAnsi="PT Astra Serif" w:eastAsia="Times New Roman" w:cs="PT Astra Serif"/>
          <w:sz w:val="56"/>
          <w:szCs w:val="56"/>
        </w:rPr>
        <w:t>управление»</w:t>
      </w:r>
    </w:p>
    <w:p>
      <w:pPr>
        <w:spacing w:after="0" w:line="276" w:lineRule="auto"/>
        <w:contextualSpacing/>
        <w:jc w:val="center"/>
        <w:rPr>
          <w:rFonts w:hint="default" w:ascii="PT Astra Serif" w:hAnsi="PT Astra Serif" w:eastAsia="Times New Roman" w:cs="PT Astra Serif"/>
          <w:i/>
          <w:iCs/>
          <w:sz w:val="56"/>
          <w:szCs w:val="56"/>
        </w:rPr>
      </w:pPr>
      <w:r>
        <w:rPr>
          <w:rFonts w:hint="default" w:ascii="PT Astra Serif" w:hAnsi="PT Astra Serif" w:eastAsia="Times New Roman" w:cs="PT Astra Serif"/>
          <w:i/>
          <w:iCs/>
          <w:sz w:val="56"/>
          <w:szCs w:val="56"/>
        </w:rPr>
        <w:t>Юниоры</w:t>
      </w:r>
    </w:p>
    <w:p>
      <w:pPr>
        <w:spacing w:after="0" w:line="276" w:lineRule="auto"/>
        <w:contextualSpacing/>
        <w:rPr>
          <w:rFonts w:hint="default" w:ascii="PT Astra Serif" w:hAnsi="PT Astra Serif" w:eastAsia="Times New Roman" w:cs="PT Astra Serif"/>
          <w:sz w:val="40"/>
          <w:szCs w:val="40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40"/>
          <w:szCs w:val="40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276" w:lineRule="auto"/>
        <w:contextualSpacing/>
        <w:jc w:val="center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202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>6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 xml:space="preserve"> г.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br w:type="page"/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</w:rPr>
        <w:t>Наименование компетенции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: «Программно-проектное управление»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>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Формат участия в соревновании</w:t>
      </w:r>
      <w:r>
        <w:rPr>
          <w:rFonts w:hint="default" w:ascii="PT Astra Serif" w:hAnsi="PT Astra Serif" w:eastAsia="Times New Roman" w:cs="PT Astra Serif"/>
          <w:sz w:val="28"/>
          <w:szCs w:val="28"/>
        </w:rPr>
        <w:t>: индивидуальный</w:t>
      </w: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>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Описание компетенции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Содержание компетенции 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 xml:space="preserve">«Программно-проектное управление» 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предполагает развитие комплекса навыков, который позволит специалистам, занятым в области проектной деятельности, системно подходить к разработке и реализации различных проектов или программ</w:t>
      </w: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(разработка нового продукта, орг. трансформация, рационализаторские, инфраструктурные и другие проекты)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Механика компетенции позволяет оценить эффективность работы руководителя проекта в области сбора информации, анализа данных и потребностей стейкхолдеров/заказчиков, системного мышления, проектной деятельности, упаковки информации, коммуникации, системного проектирования разработок.</w:t>
      </w:r>
    </w:p>
    <w:p>
      <w:pPr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Компетенция предполагает комплексную работу по формированию и структурированию первичных проектных концепций по заданному конкурсному заданию (КЗ). Тематика проектных разработок может быть различной, в зависимости от специфики деятельности организаций, направляющих участников. При этом важно понимать, что в процессе разработки учитывается весь жизненный цикл проекта, включающий: </w:t>
      </w:r>
      <w:r>
        <w:rPr>
          <w:rFonts w:hint="default" w:ascii="PT Astra Serif" w:hAnsi="PT Astra Serif" w:eastAsia="Times New Roman" w:cs="PT Astra Serif"/>
          <w:sz w:val="28"/>
          <w:szCs w:val="28"/>
          <w:shd w:val="clear" w:fill="auto"/>
        </w:rPr>
        <w:t>анализ потребностей рынка и потенциальных заказчиков/стейкхолдеров, разработку концепции проекта, проектирование финансовой модели, HR-составляющей и анализа необходимых компетенций для реализации проекта, формирование дорожной карты и проведение первичного анализа рынков и возможностей развития и масштабирования проекта и т.д.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Содержание компетенции соответствует специальности среднего профессионального образования 27.02.07 Управление качеством продукции, процессов и услуг (по отраслям). Также компетенция включает в себя перечень умений и навыков, необходимых для структурирования и проработки проектов сотрудниками предприятий различных отраслей.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Компетенция является индивидуальной и предполагает подготовку проектным лидером первичной концепции проекта.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Актуальность компетенции обусловлена сложившейся мировой практикой работы бизнес-среды. В условиях перехода высокотехнологичных отраслей от предприятий полного цикла к системной интеграции, необходимо готовить специалистов новой формации, которые обладают не только специальными инженерными, конструкторскими, технологическими, экономическими знаниями, но и понимают этапы развития жизненного цикла и логику запуска и управления проектами, умеют работать в мультизадачной среде, эффективно интегрируют существующие процессы и информацию в единую систему, умеют находить решение сложных, многофакторных задач, обладают развитыми навыками коммуникационного взаимодействия, критическим мышлением и навыками организационного проектирования.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Кроме того, подходы программно-проектного управления позволяют предприятиям и глобальным корпорациям более эффективно выстраивать бизнес-процессы и гибко принимать решения в изменяющихся условиях окружающей среды.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В компетенции учитываются международные и национальные стандарты в области управления проектами: 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en-US"/>
        </w:rPr>
        <w:t>- PMBOK (Project Management Body of Knowledge)</w:t>
      </w:r>
      <w:r>
        <w:rPr>
          <w:rFonts w:hint="default" w:ascii="PT Astra Serif" w:hAnsi="PT Astra Serif" w:eastAsia="Times New Roman" w:cs="PT Astra Serif"/>
          <w:sz w:val="28"/>
          <w:szCs w:val="28"/>
          <w:lang w:val="en-US"/>
        </w:rPr>
        <w:t xml:space="preserve"> PMI;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P2M</w:t>
      </w:r>
      <w:r>
        <w:rPr>
          <w:rFonts w:hint="default" w:ascii="PT Astra Serif" w:hAnsi="PT Astra Serif" w:eastAsia="Times New Roman" w:cs="PT Astra Serif"/>
          <w:sz w:val="28"/>
          <w:szCs w:val="28"/>
        </w:rPr>
        <w:t>, разработанный японской Ассоциацией управления проектами PMAJ;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 xml:space="preserve">- ICB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от международной ассоциации IPMA;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ISO 21500;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ГОСТ Р 54869-2011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Включает перечень основных терминов и важных определений менеджмента, используемых в России. Базируется на стандарте ISO 21500:2012, учитывает терминологию других международных и национальных документов;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ГОСТ Р 54870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Содержит описание основных процессов менеджмента, используемых в России. Базируется на стандарте ISO 21500:2012, учитывает процессы других международных и национальных стандартов;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ГОСТ Р ИСО 10006-2008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Включает рекомендации и требования по планированию, реализации, контролю и повышению уровня показателей качества продукта или сервиса. Является переводом и адаптацией международного стандарта ISO 10006:2003;</w:t>
      </w:r>
    </w:p>
    <w:p>
      <w:pPr>
        <w:pStyle w:val="19"/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cs="PT Astra Serif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- «СОВНЕТ»</w:t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 (Россия), «Управление проектами: основы профессиональных знаний: национальные требования к компетенции (НТК) специалистов» (2001), а также образовательный стандарт ФГОС СПО специальности 27.02.07 Управление качеством продукции, процессов и услуг (по отраслям).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В целом компетенция является универсальным инструментом, в том числе, применима для сотрудников проектных и исследовательских инженерных офисов, промышленных предприятий, других организаций бизнес-среды, студентов высших учебных заведений (ВУЗ), профессиональных образовательных учреждений (СПО), школ.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Next/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rFonts w:hint="default" w:ascii="PT Astra Serif" w:hAnsi="PT Astra Serif" w:eastAsia="Times New Roman" w:cs="PT Astra Serif"/>
          <w:b/>
          <w:sz w:val="28"/>
          <w:szCs w:val="28"/>
        </w:rPr>
        <w:t>Нормативные правовые акты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Поскольку </w:t>
      </w: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>о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ФГОС СПО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Times New Roman" w:cs="PT Astra Serif"/>
          <w:sz w:val="28"/>
          <w:szCs w:val="28"/>
        </w:rPr>
        <w:t>27.02.07 Управление качеством продукции, процессов и услуг (по отраслям) от 9 декабря 2016 г. № 1557</w:t>
      </w:r>
    </w:p>
    <w:p>
      <w:pPr>
        <w:pStyle w:val="19"/>
        <w:numPr>
          <w:ilvl w:val="0"/>
          <w:numId w:val="0"/>
        </w:numPr>
        <w:tabs>
          <w:tab w:val="left" w:pos="993"/>
        </w:tabs>
        <w:spacing w:after="0" w:line="360" w:lineRule="auto"/>
        <w:ind w:left="709" w:leftChars="0"/>
        <w:jc w:val="both"/>
        <w:rPr>
          <w:rFonts w:hint="default" w:ascii="PT Astra Serif" w:hAnsi="PT Astra Serif" w:eastAsia="Times New Roman" w:cs="PT Astra Serif"/>
          <w:b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Профессиональные стандарты</w:t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"http://okpdtr.ru/kod-21477-direktor-po-kadram-i-bytu" </w:instrText>
      </w:r>
      <w:r>
        <w:rPr>
          <w:rFonts w:hint="default" w:ascii="PT Astra Serif" w:hAnsi="PT Astra Serif" w:cs="PT Astra Serif"/>
        </w:rPr>
        <w:fldChar w:fldCharType="separate"/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end"/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sz w:val="28"/>
          <w:szCs w:val="28"/>
        </w:rPr>
        <w:t>40.062</w:t>
      </w:r>
      <w:r>
        <w:rPr>
          <w:rFonts w:hint="default" w:ascii="PT Astra Serif" w:hAnsi="PT Astra Serif" w:eastAsia="Times New Roman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 </w:t>
      </w:r>
      <w:r>
        <w:rPr>
          <w:rFonts w:hint="default" w:ascii="PT Astra Serif" w:hAnsi="PT Astra Serif" w:eastAsia="Times New Roman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sz w:val="28"/>
          <w:szCs w:val="28"/>
        </w:rPr>
        <w:t>Специалист по качеству</w:t>
      </w:r>
      <w:r>
        <w:rPr>
          <w:rFonts w:hint="default" w:ascii="PT Astra Serif" w:hAnsi="PT Astra Serif" w:eastAsia="Times New Roman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"http://okpdtr.ru/kod-21477-direktor-po-kadram-i-bytu" </w:instrText>
      </w:r>
      <w:r>
        <w:rPr>
          <w:rFonts w:hint="default" w:ascii="PT Astra Serif" w:hAnsi="PT Astra Serif" w:cs="PT Astra Serif"/>
        </w:rPr>
        <w:fldChar w:fldCharType="separate"/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cs="PT Astra Serif"/>
        </w:rPr>
        <w:fldChar w:fldCharType="end"/>
      </w:r>
      <w:r>
        <w:rPr>
          <w:rFonts w:hint="default" w:ascii="PT Astra Serif" w:hAnsi="PT Astra Serif" w:eastAsia="Times New Roman" w:cs="PT Astra Serif"/>
          <w:sz w:val="28"/>
          <w:szCs w:val="28"/>
        </w:rPr>
        <w:t>Также к участию в соревновании по данной компетенции могут быть включены представители (обучающиеся) по специальностям и направлениям, в программе подготовке которых присутствует блок, касающийся проектной деятельности, т.е., студенты, для которых компетенции из области программно-проектного управления необходимы для полноценного осуществления будущей профессиональной деятельности.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Отраслевые/корпоративные стандарты</w:t>
      </w: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  <w:t>: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bCs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>- с</w:t>
      </w:r>
      <w:r>
        <w:rPr>
          <w:rFonts w:hint="default" w:ascii="PT Astra Serif" w:hAnsi="PT Astra Serif" w:eastAsia="Times New Roman" w:cs="PT Astra Serif"/>
          <w:sz w:val="28"/>
          <w:szCs w:val="28"/>
        </w:rPr>
        <w:t>тандарты управления проектами и разработки продуктов в рамках корпоративного управления (ГК «Ростех», ГК «Росатом», ГК «Роскосмос», ОС</w:t>
      </w:r>
      <w:r>
        <w:rPr>
          <w:rFonts w:hint="default" w:ascii="PT Astra Serif" w:hAnsi="PT Astra Serif" w:eastAsia="Times New Roman" w:cs="PT Astra Serif"/>
          <w:b w:val="0"/>
          <w:bCs w:val="0"/>
          <w:sz w:val="28"/>
          <w:szCs w:val="28"/>
        </w:rPr>
        <w:t>К и др.)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 w:val="0"/>
          <w:bCs w:val="0"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 w:val="0"/>
          <w:bCs w:val="0"/>
          <w:sz w:val="28"/>
          <w:szCs w:val="28"/>
        </w:rPr>
        <w:t>Квалификационные характеристики (профессиограмма)</w:t>
      </w:r>
      <w:r>
        <w:rPr>
          <w:rFonts w:hint="default" w:ascii="PT Astra Serif" w:hAnsi="PT Astra Serif" w:eastAsia="Times New Roman" w:cs="PT Astra Serif"/>
          <w:b w:val="0"/>
          <w:bCs w:val="0"/>
          <w:sz w:val="28"/>
          <w:szCs w:val="28"/>
          <w:lang w:val="ru-RU"/>
        </w:rPr>
        <w:t>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В</w:t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 рамках компетенции предполагается работа кроссфункциональной команды.</w:t>
      </w: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bCs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ГОСТы:</w:t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"http://openplanning.ru/training/source.html"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ИСО 21500-2014 «Руководство по проектному менеджменту»;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"http://openplanning.ru/documents/GOST-R-54869-2011.pdf"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54869-2011 «Проектный менеджмент. Требования к управлению проектом»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;</w:t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"http://openplanning.ru/documents/GOST-R-54870-2011.pdf"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54870-2011 «Проектный менеджмент. Требования к управлению портфелем проектов»;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cs="PT Astra Serif"/>
        </w:rPr>
        <w:fldChar w:fldCharType="begin"/>
      </w:r>
      <w:r>
        <w:rPr>
          <w:rFonts w:hint="default" w:ascii="PT Astra Serif" w:hAnsi="PT Astra Serif" w:cs="PT Astra Serif"/>
        </w:rPr>
        <w:instrText xml:space="preserve"> HYPERLINK "http://openplanning.ru/documents/GOST-R-54871-2011.pdf" \h </w:instrText>
      </w:r>
      <w:r>
        <w:rPr>
          <w:rFonts w:hint="default" w:ascii="PT Astra Serif" w:hAnsi="PT Astra Serif" w:cs="PT Astra Serif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Национальный стандарт Российской Федерации ГОСТ Р 54871-2011 «Проектный менеджмент. Требования к управлению программой»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.</w:t>
      </w:r>
    </w:p>
    <w:p>
      <w:pPr>
        <w:pStyle w:val="19"/>
        <w:widowControl/>
        <w:numPr>
          <w:ilvl w:val="0"/>
          <w:numId w:val="0"/>
        </w:numPr>
        <w:tabs>
          <w:tab w:val="left" w:pos="993"/>
        </w:tabs>
        <w:bidi w:val="0"/>
        <w:spacing w:before="0" w:after="0" w:line="360" w:lineRule="auto"/>
        <w:ind w:left="737" w:right="0" w:firstLine="0"/>
        <w:contextualSpacing/>
        <w:jc w:val="both"/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</w:rPr>
        <w:t>Профессиональные стандарты:</w:t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Профессиональный стандарт «Маркетолог» 08.035, утвержденный приказом Министерства труда и социальной защиты РФ от 04 июня 2018г., №336Н;</w:t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Профессиональный стандарт «Специалист по работе с инвестиционными проектами» 08.036, утвержденный приказом Министерства труда и социальной защиты Российской Федерации от 16 апреля 2018 г. N239Н;</w:t>
      </w:r>
    </w:p>
    <w:p>
      <w:pPr>
        <w:spacing w:before="0" w:after="0" w:line="360" w:lineRule="auto"/>
        <w:ind w:left="0"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Профессиональный стандарт: 08.0412 Специалист в сфере управления проектами государственно-частного партнерства» и др.</w:t>
      </w:r>
    </w:p>
    <w:p>
      <w:pPr>
        <w:spacing w:after="0" w:line="360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Next/>
        <w:spacing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Перечень профессиональных задач специалиста по компетенции</w:t>
      </w:r>
      <w:r>
        <w:rPr>
          <w:rFonts w:hint="default" w:ascii="PT Astra Serif" w:hAnsi="PT Astra Serif" w:eastAsia="Times New Roman" w:cs="PT Astra Serif"/>
          <w:b/>
          <w:sz w:val="28"/>
          <w:szCs w:val="28"/>
        </w:rPr>
        <w:t xml:space="preserve">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базируется на требованиях современного рынка труда к менеджеру/лидеру проекта или программы.</w:t>
      </w:r>
    </w:p>
    <w:tbl>
      <w:tblPr>
        <w:tblStyle w:val="28"/>
        <w:tblW w:w="92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89"/>
        <w:gridCol w:w="82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60" w:hRule="atLeast"/>
          <w:jc w:val="center"/>
        </w:trPr>
        <w:tc>
          <w:tcPr>
            <w:tcW w:w="989" w:type="dxa"/>
            <w:shd w:val="clear" w:color="auto" w:fill="92D050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224" w:type="dxa"/>
            <w:shd w:val="clear" w:color="auto" w:fill="92D050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0" w:hRule="atLeast"/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Организация работы, техника безопасности и охрана труда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0" w:hRule="atLeast"/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Менеджмент и управление личной эффективностью</w:t>
            </w: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>бережливое производство (управление эффективностью процессов)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Технологии и инструменты программно-проектного управления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Маркетинг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Технология управления персоналом в проектах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 xml:space="preserve">Экономика </w:t>
            </w:r>
            <w:bookmarkStart w:id="1" w:name="_GoBack"/>
            <w:bookmarkEnd w:id="1"/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и финансы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Коммуникация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989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224" w:type="dxa"/>
            <w:shd w:val="clear" w:color="auto" w:fill="FFFFFF" w:themeFill="background1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Программное обеспечение, документация и работа с информацией</w:t>
            </w:r>
          </w:p>
        </w:tc>
      </w:tr>
    </w:tbl>
    <w:p>
      <w:pPr>
        <w:tabs>
          <w:tab w:val="left" w:pos="3516"/>
        </w:tabs>
        <w:spacing w:line="360" w:lineRule="auto"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eorgia">
    <w:altName w:val="FreeSerif"/>
    <w:panose1 w:val="02040502050405020303"/>
    <w:charset w:val="CC"/>
    <w:family w:val="roman"/>
    <w:pitch w:val="default"/>
    <w:sig w:usb0="00000000" w:usb1="00000000" w:usb2="00000000" w:usb3="00000000" w:csb0="0000009F" w:csb1="00000000"/>
  </w:font>
  <w:font w:name="FreeSerif">
    <w:panose1 w:val="02020603050405020304"/>
    <w:charset w:val="00"/>
    <w:family w:val="auto"/>
    <w:pitch w:val="default"/>
    <w:sig w:usb0="E59FAFFF" w:usb1="C200FDFF" w:usb2="43501B29" w:usb3="04000003" w:csb0="600101FF" w:csb1="FFFF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oto Sans Symbols">
    <w:panose1 w:val="020B0502040504020204"/>
    <w:charset w:val="00"/>
    <w:family w:val="auto"/>
    <w:pitch w:val="default"/>
    <w:sig w:usb0="00000003" w:usb1="0200E4B4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690463"/>
    <w:multiLevelType w:val="multilevel"/>
    <w:tmpl w:val="2F690463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Arial" w:hAnsi="Arial" w:eastAsia="Arial" w:cs="Arial"/>
      </w:rPr>
    </w:lvl>
    <w:lvl w:ilvl="1" w:tentative="0">
      <w:start w:val="1"/>
      <w:numFmt w:val="decimal"/>
      <w:lvlText w:val="−.%2."/>
      <w:lvlJc w:val="left"/>
      <w:pPr>
        <w:ind w:left="855" w:hanging="495"/>
      </w:pPr>
    </w:lvl>
    <w:lvl w:ilvl="2" w:tentative="0">
      <w:start w:val="2"/>
      <w:numFmt w:val="decimal"/>
      <w:lvlText w:val="−.%2.%3."/>
      <w:lvlJc w:val="left"/>
      <w:pPr>
        <w:ind w:left="1080" w:hanging="720"/>
      </w:pPr>
    </w:lvl>
    <w:lvl w:ilvl="3" w:tentative="0">
      <w:start w:val="1"/>
      <w:numFmt w:val="decimal"/>
      <w:lvlText w:val="−.%2.%3.%4."/>
      <w:lvlJc w:val="left"/>
      <w:pPr>
        <w:ind w:left="1080" w:hanging="720"/>
      </w:pPr>
    </w:lvl>
    <w:lvl w:ilvl="4" w:tentative="0">
      <w:start w:val="1"/>
      <w:numFmt w:val="decimal"/>
      <w:lvlText w:val="−.%2.%3.%4.%5."/>
      <w:lvlJc w:val="left"/>
      <w:pPr>
        <w:ind w:left="1440" w:hanging="1080"/>
      </w:pPr>
    </w:lvl>
    <w:lvl w:ilvl="5" w:tentative="0">
      <w:start w:val="1"/>
      <w:numFmt w:val="decimal"/>
      <w:lvlText w:val="−.%2.%3.%4.%5.%6."/>
      <w:lvlJc w:val="left"/>
      <w:pPr>
        <w:ind w:left="1440" w:hanging="1080"/>
      </w:pPr>
    </w:lvl>
    <w:lvl w:ilvl="6" w:tentative="0">
      <w:start w:val="1"/>
      <w:numFmt w:val="decimal"/>
      <w:lvlText w:val="−.%2.%3.%4.%5.%6.%7."/>
      <w:lvlJc w:val="left"/>
      <w:pPr>
        <w:ind w:left="1440" w:hanging="1080"/>
      </w:pPr>
    </w:lvl>
    <w:lvl w:ilvl="7" w:tentative="0">
      <w:start w:val="1"/>
      <w:numFmt w:val="decimal"/>
      <w:lvlText w:val="−.%2.%3.%4.%5.%6.%7.%8."/>
      <w:lvlJc w:val="left"/>
      <w:pPr>
        <w:ind w:left="1800" w:hanging="1440"/>
      </w:pPr>
    </w:lvl>
    <w:lvl w:ilvl="8" w:tentative="0">
      <w:start w:val="1"/>
      <w:numFmt w:val="decimal"/>
      <w:lvlText w:val="−.%2.%3.%4.%5.%6.%7.%8.%9."/>
      <w:lvlJc w:val="left"/>
      <w:pPr>
        <w:ind w:left="1800" w:hanging="1440"/>
      </w:pPr>
    </w:lvl>
  </w:abstractNum>
  <w:abstractNum w:abstractNumId="1">
    <w:nsid w:val="72003AA9"/>
    <w:multiLevelType w:val="multilevel"/>
    <w:tmpl w:val="72003AA9"/>
    <w:lvl w:ilvl="0" w:tentative="0">
      <w:start w:val="1"/>
      <w:numFmt w:val="decimal"/>
      <w:pStyle w:val="25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E0"/>
    <w:rsid w:val="000958FA"/>
    <w:rsid w:val="000A528B"/>
    <w:rsid w:val="001472A4"/>
    <w:rsid w:val="002574C1"/>
    <w:rsid w:val="002E10E1"/>
    <w:rsid w:val="002E49ED"/>
    <w:rsid w:val="00396C70"/>
    <w:rsid w:val="003E207F"/>
    <w:rsid w:val="00475538"/>
    <w:rsid w:val="0050724D"/>
    <w:rsid w:val="00587045"/>
    <w:rsid w:val="00594F25"/>
    <w:rsid w:val="006316E0"/>
    <w:rsid w:val="0069677D"/>
    <w:rsid w:val="00831028"/>
    <w:rsid w:val="008B2D62"/>
    <w:rsid w:val="008C67A3"/>
    <w:rsid w:val="00A0292D"/>
    <w:rsid w:val="00AB5D92"/>
    <w:rsid w:val="00D14255"/>
    <w:rsid w:val="00D47CDE"/>
    <w:rsid w:val="00D679AA"/>
    <w:rsid w:val="00D800E2"/>
    <w:rsid w:val="00E43D4B"/>
    <w:rsid w:val="00EF77EB"/>
    <w:rsid w:val="00F72871"/>
    <w:rsid w:val="00FC0580"/>
    <w:rsid w:val="00FD2CB5"/>
    <w:rsid w:val="3D6B8D5D"/>
    <w:rsid w:val="EFA3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link w:val="27"/>
    <w:unhideWhenUsed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8"/>
    <w:semiHidden/>
    <w:unhideWhenUsed/>
    <w:qFormat/>
    <w:uiPriority w:val="99"/>
    <w:rPr>
      <w:vertAlign w:val="superscript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Strong"/>
    <w:basedOn w:val="8"/>
    <w:qFormat/>
    <w:uiPriority w:val="22"/>
    <w:rPr>
      <w:b/>
      <w:bCs/>
    </w:rPr>
  </w:style>
  <w:style w:type="paragraph" w:styleId="13">
    <w:name w:val="footnote text"/>
    <w:basedOn w:val="1"/>
    <w:link w:val="24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6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7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link w:val="20"/>
    <w:qFormat/>
    <w:uiPriority w:val="34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20">
    <w:name w:val="Абзац списка Знак"/>
    <w:basedOn w:val="8"/>
    <w:link w:val="19"/>
    <w:qFormat/>
    <w:uiPriority w:val="34"/>
    <w:rPr>
      <w:rFonts w:ascii="Calibri" w:hAnsi="Calibri" w:eastAsia="Calibri" w:cs="Times New Roman"/>
    </w:rPr>
  </w:style>
  <w:style w:type="character" w:customStyle="1" w:styleId="21">
    <w:name w:val="Верхний колонтитул Знак"/>
    <w:basedOn w:val="8"/>
    <w:link w:val="14"/>
    <w:uiPriority w:val="99"/>
  </w:style>
  <w:style w:type="character" w:customStyle="1" w:styleId="22">
    <w:name w:val="Нижний колонтитул Знак"/>
    <w:basedOn w:val="8"/>
    <w:link w:val="16"/>
    <w:qFormat/>
    <w:uiPriority w:val="99"/>
  </w:style>
  <w:style w:type="character" w:customStyle="1" w:styleId="23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4">
    <w:name w:val="Текст сноски Знак"/>
    <w:basedOn w:val="8"/>
    <w:link w:val="13"/>
    <w:semiHidden/>
    <w:qFormat/>
    <w:uiPriority w:val="99"/>
    <w:rPr>
      <w:rFonts w:ascii="Calibri" w:hAnsi="Calibri" w:eastAsia="Calibri" w:cs="Calibri"/>
      <w:sz w:val="20"/>
      <w:szCs w:val="20"/>
      <w:lang w:eastAsia="ru-RU"/>
    </w:rPr>
  </w:style>
  <w:style w:type="paragraph" w:customStyle="1" w:styleId="25">
    <w:name w:val="Sp1"/>
    <w:basedOn w:val="1"/>
    <w:qFormat/>
    <w:uiPriority w:val="0"/>
    <w:pPr>
      <w:numPr>
        <w:ilvl w:val="0"/>
        <w:numId w:val="1"/>
      </w:numPr>
      <w:spacing w:after="120" w:line="240" w:lineRule="auto"/>
      <w:ind w:left="1135" w:hanging="284"/>
      <w:contextualSpacing/>
    </w:pPr>
    <w:rPr>
      <w:rFonts w:ascii="Arial" w:hAnsi="Arial" w:cs="Arial"/>
      <w:sz w:val="20"/>
      <w:lang w:val="en-US"/>
    </w:rPr>
  </w:style>
  <w:style w:type="paragraph" w:customStyle="1" w:styleId="26">
    <w:name w:val="SpBlue1"/>
    <w:basedOn w:val="25"/>
    <w:qFormat/>
    <w:uiPriority w:val="0"/>
    <w:pPr>
      <w:spacing w:after="0"/>
      <w:ind w:left="1065" w:hanging="705"/>
      <w:contextualSpacing w:val="0"/>
    </w:pPr>
    <w:rPr>
      <w:color w:val="62B5E5"/>
    </w:rPr>
  </w:style>
  <w:style w:type="character" w:customStyle="1" w:styleId="27">
    <w:name w:val="Заголовок 2 Знак"/>
    <w:basedOn w:val="8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table" w:customStyle="1" w:styleId="28">
    <w:name w:val="_Style 26"/>
    <w:basedOn w:val="18"/>
    <w:qFormat/>
    <w:uiPriority w:val="0"/>
    <w:tblPr>
      <w:tblCellMar>
        <w:left w:w="115" w:type="dxa"/>
        <w:right w:w="115" w:type="dxa"/>
      </w:tblCellMar>
    </w:tblPr>
  </w:style>
  <w:style w:type="paragraph" w:customStyle="1" w:styleId="29">
    <w:name w:val="futurismarkdown-listitem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futurismarkdown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1130</Words>
  <Characters>6442</Characters>
  <Lines>53</Lines>
  <Paragraphs>15</Paragraphs>
  <TotalTime>1</TotalTime>
  <ScaleCrop>false</ScaleCrop>
  <LinksUpToDate>false</LinksUpToDate>
  <CharactersWithSpaces>7557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2024-12-05T23:18:00Z</dcterms:created>
  <dc:creator>ЙОСТ3</dc:creator>
  <cp:lastModifiedBy>user</cp:lastModifiedBy>
  <dcterms:modified xsi:type="dcterms:W3CDTF">2026-01-23T11:46:40Z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