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E1B5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247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654969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соревнований по компетенции Поварское дело</w:t>
      </w:r>
    </w:p>
    <w:p w14:paraId="1423B4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Регионального этапа Чемпионата </w:t>
      </w:r>
    </w:p>
    <w:p w14:paraId="703A4EC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 Юниоры</w:t>
      </w:r>
    </w:p>
    <w:p w14:paraId="3D961B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 Кемеровская область, Кузбасс</w:t>
      </w:r>
    </w:p>
    <w:p w14:paraId="678780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4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4410"/>
      </w:tblGrid>
      <w:tr w14:paraId="3F716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555" w:type="dxa"/>
            <w:gridSpan w:val="2"/>
            <w:shd w:val="clear" w:color="auto" w:fill="9BDB7F"/>
            <w:noWrap w:val="0"/>
            <w:vAlign w:val="center"/>
          </w:tcPr>
          <w:p w14:paraId="0AC388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14:paraId="5D5DC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noWrap w:val="0"/>
            <w:vAlign w:val="center"/>
          </w:tcPr>
          <w:p w14:paraId="70C7421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  <w:noWrap w:val="0"/>
          </w:tcPr>
          <w:p w14:paraId="19B5A00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16.02.- 20.02.2026г</w:t>
            </w:r>
          </w:p>
        </w:tc>
      </w:tr>
      <w:tr w14:paraId="67891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noWrap w:val="0"/>
            <w:vAlign w:val="center"/>
          </w:tcPr>
          <w:p w14:paraId="17B262E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  <w:noWrap w:val="0"/>
          </w:tcPr>
          <w:p w14:paraId="62CCE54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г. Кемерово, ул Радищева, 7.</w:t>
            </w:r>
          </w:p>
        </w:tc>
      </w:tr>
      <w:tr w14:paraId="5CEBB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noWrap w:val="0"/>
            <w:vAlign w:val="center"/>
          </w:tcPr>
          <w:p w14:paraId="38CE4CB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  <w:noWrap w:val="0"/>
          </w:tcPr>
          <w:p w14:paraId="08DF416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Шнайдер Владислав Владимирович</w:t>
            </w:r>
          </w:p>
        </w:tc>
      </w:tr>
      <w:tr w14:paraId="2FF54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noWrap w:val="0"/>
            <w:vAlign w:val="center"/>
          </w:tcPr>
          <w:p w14:paraId="713E0C8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  <w:noWrap w:val="0"/>
          </w:tcPr>
          <w:p w14:paraId="3E1CA6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89089456637</w:t>
            </w:r>
          </w:p>
        </w:tc>
      </w:tr>
    </w:tbl>
    <w:p w14:paraId="3185CF6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4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618"/>
      </w:tblGrid>
      <w:tr w14:paraId="1A3CE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456" w:type="dxa"/>
            <w:gridSpan w:val="2"/>
            <w:shd w:val="clear" w:color="auto" w:fill="BEE7AB"/>
            <w:noWrap w:val="0"/>
            <w:vAlign w:val="center"/>
          </w:tcPr>
          <w:p w14:paraId="6DFB73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Д-2 / «16» февраля 2026 г.</w:t>
            </w:r>
          </w:p>
        </w:tc>
      </w:tr>
      <w:tr w14:paraId="4B876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329166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 – 11:00</w:t>
            </w:r>
          </w:p>
        </w:tc>
        <w:tc>
          <w:tcPr>
            <w:tcW w:w="8618" w:type="dxa"/>
            <w:noWrap w:val="0"/>
          </w:tcPr>
          <w:p w14:paraId="50272A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Проверка готовности площадки главным экспертом</w:t>
            </w:r>
          </w:p>
        </w:tc>
      </w:tr>
      <w:tr w14:paraId="57F7B1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20ADA6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11:00 – 11:15</w:t>
            </w:r>
          </w:p>
        </w:tc>
        <w:tc>
          <w:tcPr>
            <w:tcW w:w="8618" w:type="dxa"/>
            <w:noWrap w:val="0"/>
          </w:tcPr>
          <w:p w14:paraId="57D28A7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Составление и загрузка Акта результатов проверки готовности площадки проведения чемпионата</w:t>
            </w:r>
          </w:p>
        </w:tc>
      </w:tr>
      <w:tr w14:paraId="6A674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7A6924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11:15 – 12.00</w:t>
            </w:r>
          </w:p>
        </w:tc>
        <w:tc>
          <w:tcPr>
            <w:tcW w:w="8618" w:type="dxa"/>
            <w:noWrap w:val="0"/>
          </w:tcPr>
          <w:p w14:paraId="074403C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Проверка корректности данных в ЦСО</w:t>
            </w:r>
          </w:p>
        </w:tc>
      </w:tr>
      <w:tr w14:paraId="5A9ECD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618FF6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12:00 – 12:30</w:t>
            </w:r>
          </w:p>
        </w:tc>
        <w:tc>
          <w:tcPr>
            <w:tcW w:w="8618" w:type="dxa"/>
            <w:noWrap w:val="0"/>
          </w:tcPr>
          <w:p w14:paraId="04AEE74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Регистрация экспертов на конкурсной площадке. Проверка документов</w:t>
            </w:r>
          </w:p>
        </w:tc>
      </w:tr>
      <w:tr w14:paraId="127D2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0BECEC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12:30 – 13:00</w:t>
            </w:r>
          </w:p>
        </w:tc>
        <w:tc>
          <w:tcPr>
            <w:tcW w:w="8618" w:type="dxa"/>
            <w:noWrap w:val="0"/>
          </w:tcPr>
          <w:p w14:paraId="27F9682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Инструктаж экспертов по охране труда</w:t>
            </w:r>
          </w:p>
        </w:tc>
      </w:tr>
      <w:tr w14:paraId="40E57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630C32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13.00 – 14.00</w:t>
            </w:r>
          </w:p>
        </w:tc>
        <w:tc>
          <w:tcPr>
            <w:tcW w:w="8618" w:type="dxa"/>
            <w:noWrap w:val="0"/>
          </w:tcPr>
          <w:p w14:paraId="478402A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Ознакомление экспертов с конкурсной документацией</w:t>
            </w:r>
          </w:p>
        </w:tc>
      </w:tr>
      <w:tr w14:paraId="5C5AA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4F3E7C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1400 – 14.30</w:t>
            </w:r>
          </w:p>
        </w:tc>
        <w:tc>
          <w:tcPr>
            <w:tcW w:w="8618" w:type="dxa"/>
            <w:noWrap w:val="0"/>
          </w:tcPr>
          <w:p w14:paraId="4D596E5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Обед экспертов</w:t>
            </w:r>
          </w:p>
        </w:tc>
      </w:tr>
      <w:tr w14:paraId="7F01B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087729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14.30 – 15.30</w:t>
            </w:r>
          </w:p>
        </w:tc>
        <w:tc>
          <w:tcPr>
            <w:tcW w:w="8618" w:type="dxa"/>
            <w:noWrap w:val="0"/>
          </w:tcPr>
          <w:p w14:paraId="4C30A3E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Ознакомление экспертов с критериями оценивания</w:t>
            </w:r>
          </w:p>
        </w:tc>
      </w:tr>
      <w:tr w14:paraId="24003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3206B1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15.30 – 16.00</w:t>
            </w:r>
          </w:p>
        </w:tc>
        <w:tc>
          <w:tcPr>
            <w:tcW w:w="8618" w:type="dxa"/>
            <w:noWrap w:val="0"/>
          </w:tcPr>
          <w:p w14:paraId="7FE10A2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Распределение экспертов по группам оценки</w:t>
            </w:r>
          </w:p>
        </w:tc>
      </w:tr>
      <w:tr w14:paraId="4A58A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</w:tcPr>
          <w:p w14:paraId="561A84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16.00 – 16.30</w:t>
            </w:r>
          </w:p>
        </w:tc>
        <w:tc>
          <w:tcPr>
            <w:tcW w:w="8618" w:type="dxa"/>
            <w:noWrap w:val="0"/>
          </w:tcPr>
          <w:p w14:paraId="45C9DB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Внесение 30% изменений в конкурсные задания</w:t>
            </w:r>
          </w:p>
        </w:tc>
      </w:tr>
      <w:tr w14:paraId="1C73D0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noWrap w:val="0"/>
            <w:vAlign w:val="center"/>
          </w:tcPr>
          <w:p w14:paraId="0A4B3F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16:30 – 17:30</w:t>
            </w:r>
          </w:p>
        </w:tc>
        <w:tc>
          <w:tcPr>
            <w:tcW w:w="8618" w:type="dxa"/>
            <w:noWrap w:val="0"/>
          </w:tcPr>
          <w:p w14:paraId="2E98E0B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Оформление протоколов и загрузка их в ЦСО</w:t>
            </w:r>
          </w:p>
          <w:p w14:paraId="54501C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Блокировка схемы оценок в ЦСО</w:t>
            </w:r>
          </w:p>
        </w:tc>
      </w:tr>
      <w:tr w14:paraId="477E5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noWrap w:val="0"/>
            <w:vAlign w:val="center"/>
          </w:tcPr>
          <w:p w14:paraId="00FA09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Д-1 / «17» февраля 2026 г.</w:t>
            </w:r>
          </w:p>
          <w:p w14:paraId="6227A8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14:paraId="32A57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38" w:type="dxa"/>
            <w:noWrap w:val="0"/>
          </w:tcPr>
          <w:p w14:paraId="1EE99B16">
            <w:pPr>
              <w:tabs>
                <w:tab w:val="center" w:pos="81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 – 10:30</w:t>
            </w:r>
          </w:p>
        </w:tc>
        <w:tc>
          <w:tcPr>
            <w:tcW w:w="8618" w:type="dxa"/>
            <w:noWrap w:val="0"/>
          </w:tcPr>
          <w:p w14:paraId="1844C5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Регистрация конкурсантов на конкурсной площадке. Проверка документов</w:t>
            </w:r>
          </w:p>
        </w:tc>
      </w:tr>
      <w:tr w14:paraId="6928D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838" w:type="dxa"/>
            <w:noWrap w:val="0"/>
          </w:tcPr>
          <w:p w14:paraId="68DD6B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10:30 – 11:30</w:t>
            </w:r>
          </w:p>
        </w:tc>
        <w:tc>
          <w:tcPr>
            <w:tcW w:w="8618" w:type="dxa"/>
            <w:noWrap w:val="0"/>
            <w:vAlign w:val="center"/>
          </w:tcPr>
          <w:p w14:paraId="63CF4F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Инструктаж конкурсантов по охране труда</w:t>
            </w:r>
          </w:p>
        </w:tc>
      </w:tr>
      <w:tr w14:paraId="6BC25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2DC5DA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11:30 – 13:00</w:t>
            </w:r>
          </w:p>
        </w:tc>
        <w:tc>
          <w:tcPr>
            <w:tcW w:w="8618" w:type="dxa"/>
            <w:noWrap w:val="0"/>
            <w:vAlign w:val="center"/>
          </w:tcPr>
          <w:p w14:paraId="4B7B1F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Жеребьевка, ознакомление конкурсантов с конкурсной документацией, проверка ЛИК</w:t>
            </w:r>
          </w:p>
        </w:tc>
      </w:tr>
      <w:tr w14:paraId="74330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7F14E1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 – 13:30</w:t>
            </w:r>
          </w:p>
        </w:tc>
        <w:tc>
          <w:tcPr>
            <w:tcW w:w="8618" w:type="dxa"/>
            <w:noWrap w:val="0"/>
          </w:tcPr>
          <w:p w14:paraId="0600E24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Обед конкурсантов и экспертов</w:t>
            </w:r>
          </w:p>
        </w:tc>
      </w:tr>
      <w:tr w14:paraId="7E562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tcBorders>
              <w:bottom w:val="single" w:color="auto" w:sz="4" w:space="0"/>
            </w:tcBorders>
            <w:noWrap w:val="0"/>
          </w:tcPr>
          <w:p w14:paraId="72CA83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13:30 – 15:00</w:t>
            </w:r>
          </w:p>
        </w:tc>
        <w:tc>
          <w:tcPr>
            <w:tcW w:w="8618" w:type="dxa"/>
            <w:tcBorders>
              <w:bottom w:val="single" w:color="auto" w:sz="4" w:space="0"/>
            </w:tcBorders>
            <w:noWrap w:val="0"/>
            <w:vAlign w:val="center"/>
          </w:tcPr>
          <w:p w14:paraId="4F04EF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Написание меню, корректировка заказа сырья</w:t>
            </w:r>
          </w:p>
        </w:tc>
      </w:tr>
      <w:tr w14:paraId="254D6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tcBorders>
              <w:bottom w:val="single" w:color="auto" w:sz="4" w:space="0"/>
            </w:tcBorders>
            <w:noWrap w:val="0"/>
          </w:tcPr>
          <w:p w14:paraId="73870C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15:00 – 16:00</w:t>
            </w:r>
          </w:p>
        </w:tc>
        <w:tc>
          <w:tcPr>
            <w:tcW w:w="8618" w:type="dxa"/>
            <w:tcBorders>
              <w:bottom w:val="single" w:color="auto" w:sz="4" w:space="0"/>
            </w:tcBorders>
            <w:noWrap w:val="0"/>
            <w:vAlign w:val="center"/>
          </w:tcPr>
          <w:p w14:paraId="0B8055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Ознакомление конкурсантов с рабочими местами</w:t>
            </w:r>
          </w:p>
        </w:tc>
      </w:tr>
      <w:tr w14:paraId="12295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noWrap w:val="0"/>
            <w:vAlign w:val="center"/>
          </w:tcPr>
          <w:p w14:paraId="1A6615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 1 / «18» февраля 2026 г.</w:t>
            </w:r>
          </w:p>
          <w:p w14:paraId="78394D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</w:p>
        </w:tc>
      </w:tr>
      <w:tr w14:paraId="040F6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4F6AF7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08:00 – 08:15</w:t>
            </w:r>
          </w:p>
        </w:tc>
        <w:tc>
          <w:tcPr>
            <w:tcW w:w="8618" w:type="dxa"/>
            <w:noWrap w:val="0"/>
            <w:vAlign w:val="center"/>
          </w:tcPr>
          <w:p w14:paraId="59B12C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Сбор конкурсантов и экспертов соревнований</w:t>
            </w:r>
          </w:p>
        </w:tc>
      </w:tr>
      <w:tr w14:paraId="48D77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4088A2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08:15 – 08:30</w:t>
            </w:r>
          </w:p>
        </w:tc>
        <w:tc>
          <w:tcPr>
            <w:tcW w:w="8618" w:type="dxa"/>
            <w:noWrap w:val="0"/>
            <w:vAlign w:val="center"/>
          </w:tcPr>
          <w:p w14:paraId="0B6491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Брифинг участников. Инструктаж по охране труда</w:t>
            </w:r>
          </w:p>
        </w:tc>
      </w:tr>
      <w:tr w14:paraId="4F57D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775DAC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08:30 – 08:45</w:t>
            </w:r>
          </w:p>
        </w:tc>
        <w:tc>
          <w:tcPr>
            <w:tcW w:w="8618" w:type="dxa"/>
            <w:noWrap w:val="0"/>
            <w:vAlign w:val="center"/>
          </w:tcPr>
          <w:p w14:paraId="1EA86C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Проверка наличия продуктов конкурсантов</w:t>
            </w:r>
          </w:p>
        </w:tc>
      </w:tr>
      <w:tr w14:paraId="513E7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4BEE27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08:45 – 09:00</w:t>
            </w:r>
          </w:p>
        </w:tc>
        <w:tc>
          <w:tcPr>
            <w:tcW w:w="8618" w:type="dxa"/>
            <w:noWrap w:val="0"/>
            <w:vAlign w:val="center"/>
          </w:tcPr>
          <w:p w14:paraId="76F748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Подготовка рабочего места конкурсантов</w:t>
            </w:r>
          </w:p>
        </w:tc>
      </w:tr>
      <w:tr w14:paraId="43473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355B57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09:00 – 13: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noWrap w:val="0"/>
            <w:vAlign w:val="center"/>
          </w:tcPr>
          <w:p w14:paraId="6423F6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Выполнение заданий по модулям А, Б, В</w:t>
            </w:r>
          </w:p>
        </w:tc>
      </w:tr>
      <w:tr w14:paraId="53FD0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758522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13: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 – 1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noWrap w:val="0"/>
            <w:vAlign w:val="center"/>
          </w:tcPr>
          <w:p w14:paraId="325305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Уборка рабочего места</w:t>
            </w:r>
          </w:p>
        </w:tc>
      </w:tr>
      <w:tr w14:paraId="069BA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0765E3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:30 – 1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noWrap w:val="0"/>
            <w:vAlign w:val="center"/>
          </w:tcPr>
          <w:p w14:paraId="2C728E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Обед конкурсантов и экспертов</w:t>
            </w:r>
          </w:p>
        </w:tc>
      </w:tr>
      <w:tr w14:paraId="62265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1B44DE8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:00 – 1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618" w:type="dxa"/>
            <w:noWrap w:val="0"/>
            <w:vAlign w:val="center"/>
          </w:tcPr>
          <w:p w14:paraId="16621E5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Сбор экспертов для оценки работ конкурсантов</w:t>
            </w:r>
          </w:p>
        </w:tc>
      </w:tr>
      <w:tr w14:paraId="4DE50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4CA9E7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:30 – 1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noWrap w:val="0"/>
            <w:vAlign w:val="center"/>
          </w:tcPr>
          <w:p w14:paraId="0BF4A4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Ужин для экспертов</w:t>
            </w:r>
          </w:p>
        </w:tc>
      </w:tr>
      <w:tr w14:paraId="3B681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73E6CB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 – 1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noWrap w:val="0"/>
            <w:vAlign w:val="center"/>
          </w:tcPr>
          <w:p w14:paraId="46B8E0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Внесение оценок в ЦСО. Блокировка оценок главным экспертом</w:t>
            </w:r>
          </w:p>
        </w:tc>
      </w:tr>
      <w:tr w14:paraId="03F83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noWrap w:val="0"/>
            <w:vAlign w:val="center"/>
          </w:tcPr>
          <w:p w14:paraId="3EB1DA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 2 / «19» февраля 2026 г.</w:t>
            </w:r>
          </w:p>
          <w:p w14:paraId="2781F3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14:paraId="0C772B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838" w:type="dxa"/>
            <w:noWrap w:val="0"/>
          </w:tcPr>
          <w:p w14:paraId="7FB62D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08:00 – 08:15</w:t>
            </w:r>
          </w:p>
        </w:tc>
        <w:tc>
          <w:tcPr>
            <w:tcW w:w="8618" w:type="dxa"/>
            <w:noWrap w:val="0"/>
            <w:vAlign w:val="center"/>
          </w:tcPr>
          <w:p w14:paraId="54D0CB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Сбор конкурсантов и экспертов соревнований</w:t>
            </w:r>
          </w:p>
        </w:tc>
      </w:tr>
      <w:tr w14:paraId="33B27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6E01A2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08:15 – 08:30</w:t>
            </w:r>
          </w:p>
        </w:tc>
        <w:tc>
          <w:tcPr>
            <w:tcW w:w="8618" w:type="dxa"/>
            <w:noWrap w:val="0"/>
            <w:vAlign w:val="center"/>
          </w:tcPr>
          <w:p w14:paraId="4515B86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Брифинг конкурсантов. Инструктаж по охране труда</w:t>
            </w:r>
          </w:p>
        </w:tc>
      </w:tr>
      <w:tr w14:paraId="1EAF87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778B71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08:30 – 08:45</w:t>
            </w:r>
          </w:p>
        </w:tc>
        <w:tc>
          <w:tcPr>
            <w:tcW w:w="8618" w:type="dxa"/>
            <w:noWrap w:val="0"/>
            <w:vAlign w:val="center"/>
          </w:tcPr>
          <w:p w14:paraId="5659DEE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Проверка наличия продуктов конкурсантов</w:t>
            </w:r>
          </w:p>
        </w:tc>
      </w:tr>
      <w:tr w14:paraId="70FA8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24B70C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08:45 – 09:00</w:t>
            </w:r>
          </w:p>
        </w:tc>
        <w:tc>
          <w:tcPr>
            <w:tcW w:w="8618" w:type="dxa"/>
            <w:noWrap w:val="0"/>
            <w:vAlign w:val="center"/>
          </w:tcPr>
          <w:p w14:paraId="04CBC6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Подготовка рабочего места конкурсантов</w:t>
            </w:r>
          </w:p>
        </w:tc>
      </w:tr>
      <w:tr w14:paraId="1D61A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1838" w:type="dxa"/>
            <w:noWrap w:val="0"/>
          </w:tcPr>
          <w:p w14:paraId="0F93A6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09:00 – 13:00</w:t>
            </w:r>
          </w:p>
        </w:tc>
        <w:tc>
          <w:tcPr>
            <w:tcW w:w="8618" w:type="dxa"/>
            <w:noWrap w:val="0"/>
            <w:vAlign w:val="center"/>
          </w:tcPr>
          <w:p w14:paraId="441845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Выполнение задания по модулям Г, Д, Е</w:t>
            </w:r>
          </w:p>
        </w:tc>
      </w:tr>
      <w:tr w14:paraId="5F900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45D824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13:00 – 13:30</w:t>
            </w:r>
          </w:p>
        </w:tc>
        <w:tc>
          <w:tcPr>
            <w:tcW w:w="8618" w:type="dxa"/>
            <w:noWrap w:val="0"/>
            <w:vAlign w:val="center"/>
          </w:tcPr>
          <w:p w14:paraId="7BB699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Уборка рабочего места</w:t>
            </w:r>
          </w:p>
        </w:tc>
      </w:tr>
      <w:tr w14:paraId="6BCBC9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2C9DA2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13:30 – 14:00</w:t>
            </w:r>
          </w:p>
        </w:tc>
        <w:tc>
          <w:tcPr>
            <w:tcW w:w="8618" w:type="dxa"/>
            <w:noWrap w:val="0"/>
            <w:vAlign w:val="center"/>
          </w:tcPr>
          <w:p w14:paraId="293EE08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Обед конкурсантов и экспертов</w:t>
            </w:r>
          </w:p>
        </w:tc>
      </w:tr>
      <w:tr w14:paraId="1D813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noWrap w:val="0"/>
          </w:tcPr>
          <w:p w14:paraId="1A772F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14:00 – 15:30</w:t>
            </w:r>
          </w:p>
        </w:tc>
        <w:tc>
          <w:tcPr>
            <w:tcW w:w="8618" w:type="dxa"/>
            <w:noWrap w:val="0"/>
            <w:vAlign w:val="center"/>
          </w:tcPr>
          <w:p w14:paraId="2EF1FCA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Сбор экспертов для оценки работ конкурсантов</w:t>
            </w:r>
          </w:p>
        </w:tc>
      </w:tr>
      <w:tr w14:paraId="10602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noWrap w:val="0"/>
          </w:tcPr>
          <w:p w14:paraId="64C81E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15:30 – 16:00</w:t>
            </w:r>
          </w:p>
        </w:tc>
        <w:tc>
          <w:tcPr>
            <w:tcW w:w="8618" w:type="dxa"/>
            <w:noWrap w:val="0"/>
            <w:vAlign w:val="center"/>
          </w:tcPr>
          <w:p w14:paraId="255DC9E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Ужин для экспертов</w:t>
            </w:r>
          </w:p>
        </w:tc>
      </w:tr>
      <w:tr w14:paraId="7909E5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noWrap w:val="0"/>
          </w:tcPr>
          <w:p w14:paraId="183B03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16:00 – 18:00</w:t>
            </w:r>
          </w:p>
        </w:tc>
        <w:tc>
          <w:tcPr>
            <w:tcW w:w="8618" w:type="dxa"/>
            <w:noWrap w:val="0"/>
            <w:vAlign w:val="center"/>
          </w:tcPr>
          <w:p w14:paraId="7A5D3A0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Внесение оценок в ЦСО. Блокировка оценок главным экспертом</w:t>
            </w:r>
          </w:p>
        </w:tc>
      </w:tr>
      <w:tr w14:paraId="28B9F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noWrap w:val="0"/>
            <w:vAlign w:val="center"/>
          </w:tcPr>
          <w:p w14:paraId="3173AB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 3 / «20» февраля 2026 г.</w:t>
            </w:r>
          </w:p>
          <w:p w14:paraId="227D37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14:paraId="12799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38309C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08:00 – 08:15</w:t>
            </w:r>
          </w:p>
        </w:tc>
        <w:tc>
          <w:tcPr>
            <w:tcW w:w="8618" w:type="dxa"/>
            <w:noWrap w:val="0"/>
            <w:vAlign w:val="center"/>
          </w:tcPr>
          <w:p w14:paraId="63E285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Сбор конкурсантов и экспертов соревнований</w:t>
            </w:r>
          </w:p>
        </w:tc>
      </w:tr>
      <w:tr w14:paraId="3742E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0917AF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08:15 – 08:30</w:t>
            </w:r>
          </w:p>
        </w:tc>
        <w:tc>
          <w:tcPr>
            <w:tcW w:w="8618" w:type="dxa"/>
            <w:noWrap w:val="0"/>
            <w:vAlign w:val="center"/>
          </w:tcPr>
          <w:p w14:paraId="7787276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Брифинг участников. Инструктаж по охране труда</w:t>
            </w:r>
          </w:p>
        </w:tc>
      </w:tr>
      <w:tr w14:paraId="0E64C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2A8FA3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08:30 – 08:45</w:t>
            </w:r>
          </w:p>
        </w:tc>
        <w:tc>
          <w:tcPr>
            <w:tcW w:w="8618" w:type="dxa"/>
            <w:noWrap w:val="0"/>
            <w:vAlign w:val="center"/>
          </w:tcPr>
          <w:p w14:paraId="2029691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Проверка наличия продуктов конкурсантов</w:t>
            </w:r>
          </w:p>
        </w:tc>
      </w:tr>
      <w:tr w14:paraId="6C0FF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59C432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08:45 – 09:00</w:t>
            </w:r>
          </w:p>
        </w:tc>
        <w:tc>
          <w:tcPr>
            <w:tcW w:w="8618" w:type="dxa"/>
            <w:noWrap w:val="0"/>
            <w:vAlign w:val="center"/>
          </w:tcPr>
          <w:p w14:paraId="0EE473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Подготовка рабочего места конкурсантов</w:t>
            </w:r>
          </w:p>
        </w:tc>
      </w:tr>
      <w:tr w14:paraId="5D37B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17DD82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09:00 – 13:00</w:t>
            </w:r>
          </w:p>
        </w:tc>
        <w:tc>
          <w:tcPr>
            <w:tcW w:w="8618" w:type="dxa"/>
            <w:noWrap w:val="0"/>
            <w:vAlign w:val="center"/>
          </w:tcPr>
          <w:p w14:paraId="7A7D39E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Выполнение задания по модулям Ж, З, И</w:t>
            </w:r>
          </w:p>
        </w:tc>
      </w:tr>
      <w:tr w14:paraId="4241B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25FA91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13:00 – 13:30</w:t>
            </w:r>
          </w:p>
        </w:tc>
        <w:tc>
          <w:tcPr>
            <w:tcW w:w="8618" w:type="dxa"/>
            <w:noWrap w:val="0"/>
            <w:vAlign w:val="center"/>
          </w:tcPr>
          <w:p w14:paraId="69215C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Уборка рабочего места</w:t>
            </w:r>
          </w:p>
        </w:tc>
      </w:tr>
      <w:tr w14:paraId="59B3E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106BF1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13:30 – 14:00</w:t>
            </w:r>
          </w:p>
        </w:tc>
        <w:tc>
          <w:tcPr>
            <w:tcW w:w="8618" w:type="dxa"/>
            <w:noWrap w:val="0"/>
            <w:vAlign w:val="center"/>
          </w:tcPr>
          <w:p w14:paraId="0B3EEB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Обед конкурсантов и экспертов</w:t>
            </w:r>
          </w:p>
        </w:tc>
      </w:tr>
      <w:tr w14:paraId="4E5F0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39F8EC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14:00 – 15:30</w:t>
            </w:r>
          </w:p>
        </w:tc>
        <w:tc>
          <w:tcPr>
            <w:tcW w:w="8618" w:type="dxa"/>
            <w:noWrap w:val="0"/>
            <w:vAlign w:val="center"/>
          </w:tcPr>
          <w:p w14:paraId="7355914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Сбор экспертов для оценки работ конкурсантов</w:t>
            </w:r>
          </w:p>
        </w:tc>
      </w:tr>
      <w:tr w14:paraId="0E6AE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57E386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15:30 – 16:00</w:t>
            </w:r>
          </w:p>
        </w:tc>
        <w:tc>
          <w:tcPr>
            <w:tcW w:w="8618" w:type="dxa"/>
            <w:noWrap w:val="0"/>
            <w:vAlign w:val="center"/>
          </w:tcPr>
          <w:p w14:paraId="674053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Ужин для экспертов</w:t>
            </w:r>
          </w:p>
        </w:tc>
      </w:tr>
      <w:tr w14:paraId="25628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35973F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16:00 – 18:00</w:t>
            </w:r>
          </w:p>
        </w:tc>
        <w:tc>
          <w:tcPr>
            <w:tcW w:w="8618" w:type="dxa"/>
            <w:noWrap w:val="0"/>
            <w:vAlign w:val="center"/>
          </w:tcPr>
          <w:p w14:paraId="7BB9B0B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Внесение оценок в ЦСО. Блокировка оценок главным экспертом</w:t>
            </w:r>
          </w:p>
        </w:tc>
      </w:tr>
      <w:tr w14:paraId="7365D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757152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18:00 – 20:00</w:t>
            </w:r>
          </w:p>
        </w:tc>
        <w:tc>
          <w:tcPr>
            <w:tcW w:w="8618" w:type="dxa"/>
            <w:noWrap w:val="0"/>
            <w:vAlign w:val="center"/>
          </w:tcPr>
          <w:p w14:paraId="12E7A17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Оформление аналитического отчета главным экспертом</w:t>
            </w:r>
          </w:p>
        </w:tc>
      </w:tr>
      <w:tr w14:paraId="7A25B3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noWrap w:val="0"/>
            <w:vAlign w:val="center"/>
          </w:tcPr>
          <w:p w14:paraId="42EAF4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 +1 / «21» февраля 2026 г.</w:t>
            </w:r>
          </w:p>
          <w:p w14:paraId="3CA0D2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14:paraId="3C74E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0E0C02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9:00-10:00</w:t>
            </w:r>
          </w:p>
        </w:tc>
        <w:tc>
          <w:tcPr>
            <w:tcW w:w="8618" w:type="dxa"/>
            <w:noWrap w:val="0"/>
          </w:tcPr>
          <w:p w14:paraId="651DAFDC"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Совещание экспертов</w:t>
            </w:r>
          </w:p>
        </w:tc>
      </w:tr>
      <w:tr w14:paraId="3FD94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130021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10:00-12:00</w:t>
            </w:r>
          </w:p>
        </w:tc>
        <w:tc>
          <w:tcPr>
            <w:tcW w:w="8618" w:type="dxa"/>
            <w:noWrap w:val="0"/>
          </w:tcPr>
          <w:p w14:paraId="35A2EE2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Трансфер участников чемпионата</w:t>
            </w:r>
          </w:p>
        </w:tc>
      </w:tr>
      <w:tr w14:paraId="1D66F1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noWrap w:val="0"/>
          </w:tcPr>
          <w:p w14:paraId="64A94C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8618" w:type="dxa"/>
            <w:noWrap w:val="0"/>
          </w:tcPr>
          <w:p w14:paraId="3AB6ED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Демонтаж оборудования</w:t>
            </w:r>
          </w:p>
        </w:tc>
      </w:tr>
    </w:tbl>
    <w:p w14:paraId="4D61B01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624" w:footer="170" w:gutter="0"/>
      <w:pgNumType w:start="0"/>
      <w:cols w:space="708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0000000" w:usb3="00000000" w:csb0="00000000" w:csb1="00000000"/>
  </w:font>
  <w:font w:name="FrutigerLTStd-Light">
    <w:altName w:val="Segoe Print"/>
    <w:panose1 w:val="05040102010807070707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6607"/>
      <w:gridCol w:w="4089"/>
    </w:tblGrid>
    <w:tr w14:paraId="1CFCB0DC"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jc w:val="center"/>
      </w:trPr>
      <w:tc>
        <w:tcPr>
          <w:tcW w:w="5954" w:type="dxa"/>
          <w:noWrap w:val="0"/>
          <w:vAlign w:val="center"/>
        </w:tcPr>
        <w:p w14:paraId="73BA2BE4">
          <w:pPr>
            <w:pStyle w:val="4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noWrap w:val="0"/>
          <w:vAlign w:val="center"/>
        </w:tcPr>
        <w:p w14:paraId="421E7BC5">
          <w:pPr>
            <w:pStyle w:val="4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67090999">
    <w:pPr>
      <w:pStyle w:val="4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8A97D">
    <w:pPr>
      <w:pStyle w:val="29"/>
      <w:tabs>
        <w:tab w:val="right" w:pos="10631"/>
        <w:tab w:val="clear" w:pos="9355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55EC9"/>
    <w:multiLevelType w:val="multilevel"/>
    <w:tmpl w:val="14D55EC9"/>
    <w:lvl w:ilvl="0" w:tentative="0">
      <w:start w:val="1"/>
      <w:numFmt w:val="bullet"/>
      <w:pStyle w:val="241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157603E3"/>
    <w:multiLevelType w:val="multilevel"/>
    <w:tmpl w:val="157603E3"/>
    <w:lvl w:ilvl="0" w:tentative="0">
      <w:start w:val="1"/>
      <w:numFmt w:val="bullet"/>
      <w:pStyle w:val="22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1DD34C83"/>
    <w:multiLevelType w:val="multilevel"/>
    <w:tmpl w:val="1DD34C83"/>
    <w:lvl w:ilvl="0" w:tentative="0">
      <w:start w:val="1"/>
      <w:numFmt w:val="bullet"/>
      <w:pStyle w:val="232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49230CB0"/>
    <w:multiLevelType w:val="multilevel"/>
    <w:tmpl w:val="49230CB0"/>
    <w:lvl w:ilvl="0" w:tentative="0">
      <w:start w:val="1"/>
      <w:numFmt w:val="bullet"/>
      <w:pStyle w:val="210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903B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nhideWhenUsed="0" w:uiPriority="0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before="0" w:beforeAutospacing="0" w:after="160" w:afterAutospacing="0" w:line="259" w:lineRule="auto"/>
    </w:pPr>
    <w:rPr>
      <w:rFonts w:hint="default"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0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201"/>
    <w:qFormat/>
    <w:uiPriority w:val="0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202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203"/>
    <w:qFormat/>
    <w:uiPriority w:val="0"/>
    <w:pPr>
      <w:keepNext/>
      <w:widowControl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204"/>
    <w:qFormat/>
    <w:uiPriority w:val="0"/>
    <w:pPr>
      <w:keepNext/>
      <w:widowControl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205"/>
    <w:qFormat/>
    <w:uiPriority w:val="0"/>
    <w:pPr>
      <w:keepNext/>
      <w:widowControl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206"/>
    <w:qFormat/>
    <w:uiPriority w:val="0"/>
    <w:pPr>
      <w:keepNext/>
      <w:widowControl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207"/>
    <w:qFormat/>
    <w:uiPriority w:val="0"/>
    <w:pPr>
      <w:keepNext/>
      <w:widowControl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208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styleId="13">
    <w:name w:val="FollowedHyperlink"/>
    <w:uiPriority w:val="0"/>
    <w:rPr>
      <w:color w:val="800080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uiPriority w:val="0"/>
    <w:rPr>
      <w:sz w:val="16"/>
      <w:szCs w:val="16"/>
    </w:rPr>
  </w:style>
  <w:style w:type="character" w:styleId="16">
    <w:name w:val="endnote reference"/>
    <w:basedOn w:val="11"/>
    <w:semiHidden/>
    <w:unhideWhenUsed/>
    <w:uiPriority w:val="99"/>
    <w:rPr>
      <w:vertAlign w:val="superscript"/>
    </w:rPr>
  </w:style>
  <w:style w:type="character" w:styleId="17">
    <w:name w:val="Emphasis"/>
    <w:basedOn w:val="11"/>
    <w:qFormat/>
    <w:uiPriority w:val="20"/>
    <w:rPr>
      <w:i/>
      <w:iCs/>
    </w:rPr>
  </w:style>
  <w:style w:type="character" w:styleId="18">
    <w:name w:val="Hyperlink"/>
    <w:uiPriority w:val="99"/>
    <w:rPr>
      <w:color w:val="0000FF"/>
      <w:u w:val="single"/>
    </w:rPr>
  </w:style>
  <w:style w:type="character" w:styleId="19">
    <w:name w:val="page number"/>
    <w:uiPriority w:val="0"/>
    <w:rPr>
      <w:rFonts w:ascii="Arial" w:hAnsi="Arial"/>
      <w:sz w:val="16"/>
    </w:rPr>
  </w:style>
  <w:style w:type="character" w:styleId="20">
    <w:name w:val="Strong"/>
    <w:basedOn w:val="11"/>
    <w:qFormat/>
    <w:uiPriority w:val="22"/>
    <w:rPr>
      <w:b/>
      <w:bCs/>
    </w:rPr>
  </w:style>
  <w:style w:type="paragraph" w:styleId="21">
    <w:name w:val="Balloon Text"/>
    <w:basedOn w:val="1"/>
    <w:link w:val="199"/>
    <w:unhideWhenUsed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2">
    <w:name w:val="Body Text 2"/>
    <w:basedOn w:val="1"/>
    <w:link w:val="216"/>
    <w:semiHidden/>
    <w:uiPriority w:val="0"/>
    <w:pPr>
      <w:widowControl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3">
    <w:name w:val="endnote text"/>
    <w:basedOn w:val="1"/>
    <w:link w:val="193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4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25">
    <w:name w:val="annotation text"/>
    <w:basedOn w:val="1"/>
    <w:link w:val="239"/>
    <w:semiHidden/>
    <w:unhideWhenUsed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6">
    <w:name w:val="annotation subject"/>
    <w:basedOn w:val="25"/>
    <w:next w:val="25"/>
    <w:link w:val="240"/>
    <w:semiHidden/>
    <w:unhideWhenUsed/>
    <w:uiPriority w:val="0"/>
    <w:rPr>
      <w:b/>
      <w:bCs/>
    </w:rPr>
  </w:style>
  <w:style w:type="paragraph" w:styleId="27">
    <w:name w:val="footnote text"/>
    <w:basedOn w:val="1"/>
    <w:link w:val="219"/>
    <w:uiPriority w:val="0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8">
    <w:name w:val="toc 8"/>
    <w:basedOn w:val="1"/>
    <w:next w:val="1"/>
    <w:unhideWhenUsed/>
    <w:uiPriority w:val="39"/>
    <w:pPr>
      <w:spacing w:after="100"/>
      <w:ind w:left="1540"/>
    </w:pPr>
  </w:style>
  <w:style w:type="paragraph" w:styleId="29">
    <w:name w:val="header"/>
    <w:basedOn w:val="1"/>
    <w:link w:val="19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9"/>
    <w:basedOn w:val="1"/>
    <w:next w:val="1"/>
    <w:unhideWhenUsed/>
    <w:uiPriority w:val="39"/>
    <w:pPr>
      <w:spacing w:after="100"/>
      <w:ind w:left="1760"/>
    </w:pPr>
  </w:style>
  <w:style w:type="paragraph" w:styleId="31">
    <w:name w:val="toc 7"/>
    <w:basedOn w:val="1"/>
    <w:next w:val="1"/>
    <w:unhideWhenUsed/>
    <w:uiPriority w:val="39"/>
    <w:pPr>
      <w:spacing w:after="100"/>
      <w:ind w:left="1320"/>
    </w:pPr>
  </w:style>
  <w:style w:type="paragraph" w:styleId="32">
    <w:name w:val="Body Text"/>
    <w:basedOn w:val="1"/>
    <w:link w:val="214"/>
    <w:semiHidden/>
    <w:uiPriority w:val="0"/>
    <w:pPr>
      <w:widowControl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33">
    <w:name w:val="toc 1"/>
    <w:basedOn w:val="1"/>
    <w:next w:val="1"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34">
    <w:name w:val="toc 6"/>
    <w:basedOn w:val="1"/>
    <w:next w:val="1"/>
    <w:unhideWhenUsed/>
    <w:uiPriority w:val="39"/>
    <w:pPr>
      <w:spacing w:after="100"/>
      <w:ind w:left="1100"/>
    </w:pPr>
  </w:style>
  <w:style w:type="paragraph" w:styleId="35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36">
    <w:name w:val="toc 3"/>
    <w:basedOn w:val="1"/>
    <w:next w:val="1"/>
    <w:unhideWhenUsed/>
    <w:qFormat/>
    <w:uiPriority w:val="39"/>
    <w:pPr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37">
    <w:name w:val="toc 2"/>
    <w:basedOn w:val="1"/>
    <w:next w:val="1"/>
    <w:qFormat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38">
    <w:name w:val="toc 4"/>
    <w:basedOn w:val="1"/>
    <w:next w:val="1"/>
    <w:unhideWhenUsed/>
    <w:uiPriority w:val="39"/>
    <w:pPr>
      <w:spacing w:after="100"/>
      <w:ind w:left="660"/>
    </w:pPr>
  </w:style>
  <w:style w:type="paragraph" w:styleId="39">
    <w:name w:val="toc 5"/>
    <w:basedOn w:val="1"/>
    <w:next w:val="1"/>
    <w:unhideWhenUsed/>
    <w:uiPriority w:val="39"/>
    <w:pPr>
      <w:spacing w:after="100"/>
      <w:ind w:left="880"/>
    </w:pPr>
  </w:style>
  <w:style w:type="paragraph" w:styleId="40">
    <w:name w:val="Title"/>
    <w:basedOn w:val="1"/>
    <w:next w:val="1"/>
    <w:link w:val="179"/>
    <w:qFormat/>
    <w:uiPriority w:val="10"/>
    <w:pPr>
      <w:spacing w:after="80" w:line="240" w:lineRule="auto"/>
      <w:contextualSpacing/>
    </w:pPr>
    <w:rPr>
      <w:rFonts w:ascii="Arial" w:hAnsi="Arial" w:eastAsia="Arial" w:cs="Arial"/>
      <w:spacing w:val="-10"/>
      <w:sz w:val="56"/>
      <w:szCs w:val="56"/>
    </w:rPr>
  </w:style>
  <w:style w:type="paragraph" w:styleId="41">
    <w:name w:val="footer"/>
    <w:basedOn w:val="1"/>
    <w:link w:val="19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2">
    <w:name w:val="Body Text Indent 2"/>
    <w:basedOn w:val="1"/>
    <w:link w:val="215"/>
    <w:semiHidden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43">
    <w:name w:val="Subtitle"/>
    <w:basedOn w:val="1"/>
    <w:next w:val="1"/>
    <w:link w:val="180"/>
    <w:qFormat/>
    <w:uiPriority w:val="11"/>
    <w:rPr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44">
    <w:name w:val="Table Grid"/>
    <w:basedOn w:val="12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45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46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47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48">
    <w:name w:val="Plain Table 3"/>
    <w:basedOn w:val="12"/>
    <w:uiPriority w:val="99"/>
    <w:pPr>
      <w:spacing w:after="0" w:line="240" w:lineRule="auto"/>
    </w:pPr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49">
    <w:name w:val="Plain Table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0">
    <w:name w:val="Plain Table 5"/>
    <w:basedOn w:val="12"/>
    <w:uiPriority w:val="99"/>
    <w:pPr>
      <w:spacing w:after="0" w:line="240" w:lineRule="auto"/>
    </w:pPr>
    <w:tblPr/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1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2">
    <w:name w:val="Grid Table 1 Light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3">
    <w:name w:val="Grid Table 1 Light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4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5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6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7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8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9">
    <w:name w:val="Grid Table 2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0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1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2">
    <w:name w:val="Grid Table 2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3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4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5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6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7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8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9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0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1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2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3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4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5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6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7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8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9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98989" w:themeColor="text1" w:themeTint="75" w:fill="898989" w:themeFill="text1" w:themeFillTint="75"/>
      </w:tcPr>
    </w:tblStylePr>
    <w:tblStylePr w:type="band2Vert">
      <w:tblPr/>
    </w:tblStylePr>
    <w:tblStylePr w:type="band1Horz">
      <w:tblPr/>
      <w:tcPr>
        <w:shd w:val="clear" w:color="898989" w:themeColor="text1" w:themeTint="75" w:fill="898989" w:themeFill="tex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0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1EB" w:themeColor="accent1" w:themeTint="75" w:fill="B3D1EB" w:themeFill="accent1" w:themeFillTint="75"/>
      </w:tcPr>
    </w:tblStylePr>
    <w:tblStylePr w:type="band2Vert">
      <w:tblPr/>
    </w:tblStylePr>
    <w:tblStylePr w:type="band1Horz">
      <w:tblPr/>
      <w:tcPr>
        <w:shd w:val="clear" w:color="B3D1EB" w:themeColor="accent1" w:themeTint="75" w:fill="B3D1EB" w:themeFill="accen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1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2Vert">
      <w:tblPr/>
    </w:tblStylePr>
    <w:tblStylePr w:type="band1Horz">
      <w:tblPr/>
      <w:tcPr>
        <w:shd w:val="clear" w:color="F6C3A0" w:themeColor="accent2" w:themeTint="75" w:fill="F6C3A0" w:themeFill="accent2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2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2Vert">
      <w:tblPr/>
    </w:tblStylePr>
    <w:tblStylePr w:type="band1Horz">
      <w:tblPr/>
      <w:tcPr>
        <w:shd w:val="clear" w:color="D5D5D5" w:themeColor="accent3" w:themeTint="75" w:fill="D5D5D5" w:themeFill="accent3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3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EE289" w:themeColor="accent4" w:themeTint="75" w:fill="FEE289" w:themeFill="accent4" w:themeFillTint="75"/>
      </w:tcPr>
    </w:tblStylePr>
    <w:tblStylePr w:type="band2Vert">
      <w:tblPr/>
    </w:tblStylePr>
    <w:tblStylePr w:type="band1Horz">
      <w:tblPr/>
      <w:tcPr>
        <w:shd w:val="clear" w:color="FEE289" w:themeColor="accent4" w:themeTint="75" w:fill="FEE289" w:themeFill="accent4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4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3" w:themeColor="accent5" w:themeTint="75" w:fill="A9BEE3" w:themeFill="accent5" w:themeFillTint="75"/>
      </w:tcPr>
    </w:tblStylePr>
    <w:tblStylePr w:type="band2Vert">
      <w:tblPr/>
    </w:tblStylePr>
    <w:tblStylePr w:type="band1Horz">
      <w:tblPr/>
      <w:tcPr>
        <w:shd w:val="clear" w:color="A9BEE3" w:themeColor="accent5" w:themeTint="75" w:fill="A9BEE3" w:themeFill="accent5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5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2Vert">
      <w:tblPr/>
    </w:tblStylePr>
    <w:tblStylePr w:type="band1Horz">
      <w:tblPr/>
      <w:tcPr>
        <w:shd w:val="clear" w:color="BCDBA8" w:themeColor="accent6" w:themeTint="75" w:fill="BCDBA8" w:themeFill="accent6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6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band1Vert"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7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8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9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0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FEF2CA" w:themeColor="accent4" w:themeTint="34" w:fill="FEF2CA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1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  <w:tblPr/>
    </w:tblStylePr>
    <w:tblStylePr w:type="firstCol">
      <w:rPr>
        <w:b/>
        <w:color w:val="254174" w:themeColor="accent5" w:themeShade="94"/>
      </w:rPr>
      <w:tblPr/>
    </w:tblStylePr>
    <w:tblStylePr w:type="lastCol">
      <w:rPr>
        <w:b/>
        <w:color w:val="254174" w:themeColor="accent5" w:themeShade="94"/>
      </w:rPr>
      <w:tblPr/>
    </w:tblStylePr>
    <w:tblStylePr w:type="band1Vert">
      <w:tblPr/>
      <w:tcPr>
        <w:shd w:val="clear" w:color="D8E2F2" w:themeColor="accent5" w:themeTint="34" w:fill="D8E2F2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54174" w:themeColor="accent5" w:themeShade="94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2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  <w:tblPr/>
    </w:tblStylePr>
    <w:tblStylePr w:type="firstCol">
      <w:rPr>
        <w:b/>
        <w:color w:val="254174" w:themeColor="accent5" w:themeShade="94"/>
      </w:rPr>
      <w:tblPr/>
    </w:tblStylePr>
    <w:tblStylePr w:type="lastCol">
      <w:rPr>
        <w:b/>
        <w:color w:val="254174" w:themeColor="accent5" w:themeShade="94"/>
      </w:rPr>
      <w:tblPr/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25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3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4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5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6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7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EF2CA" w:themeColor="accent4" w:themeTint="34" w:fill="FEF2CA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8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blPr/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blPr/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blPr/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2" w:themeColor="accent5" w:themeTint="34" w:fill="D8E2F2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54174" w:themeColor="accent5" w:themeShade="94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9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blPr/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blPr/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blPr/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1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0">
    <w:name w:val="List Table 1 Light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1">
    <w:name w:val="List Table 1 Light - Accent 1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2Vert">
      <w:tblPr/>
    </w:tblStylePr>
    <w:tblStylePr w:type="band1Horz">
      <w:tblPr/>
      <w:tcPr>
        <w:shd w:val="clear" w:color="D5E5F4" w:themeColor="accent1" w:themeTint="40" w:fill="D5E5F4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2">
    <w:name w:val="List Table 1 Light - Accent 2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2Vert">
      <w:tblPr/>
    </w:tblStylePr>
    <w:tblStylePr w:type="band1Horz">
      <w:tblPr/>
      <w:tcPr>
        <w:shd w:val="clear" w:color="FADECB" w:themeColor="accent2" w:themeTint="40" w:fill="FADECB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3">
    <w:name w:val="List Table 1 Light - Accent 3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2Vert">
      <w:tblPr/>
    </w:tblStylePr>
    <w:tblStylePr w:type="band1Horz">
      <w:tblPr/>
      <w:tcPr>
        <w:shd w:val="clear" w:color="E8E8E8" w:themeColor="accent3" w:themeTint="40" w:fill="E8E8E8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4">
    <w:name w:val="List Table 1 Light - Accent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E" w:themeColor="accent4" w:themeTint="40" w:fill="FFEFBE" w:themeFill="accent4" w:themeFillTint="40"/>
      </w:tcPr>
    </w:tblStylePr>
    <w:tblStylePr w:type="band2Vert">
      <w:tblPr/>
    </w:tblStylePr>
    <w:tblStylePr w:type="band1Horz">
      <w:tblPr/>
      <w:tcPr>
        <w:shd w:val="clear" w:color="FFEFBE" w:themeColor="accent4" w:themeTint="40" w:fill="FFEFBE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5">
    <w:name w:val="List Table 1 Light - Accent 5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0DBF0" w:themeColor="accent5" w:themeTint="40" w:fill="D0DBF0" w:themeFill="accent5" w:themeFillTint="40"/>
      </w:tcPr>
    </w:tblStylePr>
    <w:tblStylePr w:type="band2Vert">
      <w:tblPr/>
    </w:tblStylePr>
    <w:tblStylePr w:type="band1Horz">
      <w:tblPr/>
      <w:tcPr>
        <w:shd w:val="clear" w:color="D0DBF0" w:themeColor="accent5" w:themeTint="40" w:fill="D0DB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6">
    <w:name w:val="List Table 1 Light - Accent 6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2Vert">
      <w:tblPr/>
    </w:tblStylePr>
    <w:tblStylePr w:type="band1Horz">
      <w:tblPr/>
      <w:tcPr>
        <w:shd w:val="clear" w:color="DAEBCF" w:themeColor="accent6" w:themeTint="40" w:fill="DAEBCF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7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8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9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0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1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FEFBE" w:themeColor="accent4" w:themeTint="40" w:fill="FFEFBE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FEFBE" w:themeColor="accent4" w:themeTint="40" w:fill="FFEFBE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2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0DBF0" w:themeColor="accent5" w:themeTint="40" w:fill="D0DB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0DBF0" w:themeColor="accent5" w:themeTint="40" w:fill="D0DB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3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4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5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6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7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8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9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0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1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2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3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4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5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FEFBE" w:themeColor="accent4" w:themeTint="40" w:fill="FFEFBE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FEFBE" w:themeColor="accent4" w:themeTint="40" w:fill="FFEFBE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6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0DBF0" w:themeColor="accent5" w:themeTint="40" w:fill="D0DB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0DBF0" w:themeColor="accent5" w:themeTint="40" w:fill="D0DB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7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8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9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0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1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2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3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4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5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  <w:tblPr/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6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  <w:tblPr/>
    </w:tblStylePr>
    <w:tblStylePr w:type="lastCol">
      <w:rPr>
        <w:b/>
        <w:color w:val="245B8C" w:themeColor="accent1" w:themeShade="94"/>
      </w:rPr>
      <w:tblPr/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45B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7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8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9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FFEFBE" w:themeColor="accent4" w:themeTint="40" w:fill="FFEFBE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0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D0DBF0" w:themeColor="accent5" w:themeTint="40" w:fill="D0DB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1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2">
    <w:name w:val="List Table 7 Colorful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3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blPr/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45B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4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5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6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E" w:themeColor="accent4" w:themeTint="40" w:fill="FFEFBE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7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0DBF0" w:themeColor="accent5" w:themeTint="40" w:fill="D0DB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8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9">
    <w:name w:val="Lined - Accent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0">
    <w:name w:val="Lined - Accent 1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1">
    <w:name w:val="Lined - Accent 2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2">
    <w:name w:val="Lined - Accent 3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3">
    <w:name w:val="Lined - Accent 4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4">
    <w:name w:val="Lined - Accent 5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5">
    <w:name w:val="Lined - Accent 6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6">
    <w:name w:val="Bordered &amp; Lined - Accent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7">
    <w:name w:val="Bordered &amp; Lined - Accent 1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8">
    <w:name w:val="Bordered &amp; Lined - Accent 2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9">
    <w:name w:val="Bordered &amp; Lined - Accent 3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0">
    <w:name w:val="Bordered &amp; Lined - Accent 4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EF2CA" w:themeColor="accent4" w:themeTint="34" w:fill="FEF2CA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1">
    <w:name w:val="Bordered &amp; Lined - Accent 5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8E2F2" w:themeColor="accent5" w:themeTint="34" w:fill="D8E2F2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2">
    <w:name w:val="Bordered &amp; Lined - Accent 6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3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7E7E7E" w:themeColor="text1" w:themeTint="80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4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5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F4B285" w:themeColor="accent2" w:themeTint="97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6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C9C9C9" w:themeColor="accent3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7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FFD864" w:themeColor="accent4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8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8EA9DB" w:themeColor="accent5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9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A9D08E" w:themeColor="accent6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customStyle="1" w:styleId="170">
    <w:name w:val="Heading 1 Char"/>
    <w:basedOn w:val="11"/>
    <w:uiPriority w:val="9"/>
    <w:rPr>
      <w:rFonts w:ascii="Arial" w:hAnsi="Arial" w:eastAsia="Arial" w:cs="Arial"/>
      <w:color w:val="2E75B6" w:themeColor="accent1" w:themeShade="BF"/>
      <w:sz w:val="40"/>
      <w:szCs w:val="40"/>
    </w:rPr>
  </w:style>
  <w:style w:type="character" w:customStyle="1" w:styleId="171">
    <w:name w:val="Heading 2 Char"/>
    <w:basedOn w:val="11"/>
    <w:uiPriority w:val="9"/>
    <w:rPr>
      <w:rFonts w:ascii="Arial" w:hAnsi="Arial" w:eastAsia="Arial" w:cs="Arial"/>
      <w:color w:val="2E75B6" w:themeColor="accent1" w:themeShade="BF"/>
      <w:sz w:val="32"/>
      <w:szCs w:val="32"/>
    </w:rPr>
  </w:style>
  <w:style w:type="character" w:customStyle="1" w:styleId="172">
    <w:name w:val="Heading 3 Char"/>
    <w:basedOn w:val="11"/>
    <w:uiPriority w:val="9"/>
    <w:rPr>
      <w:rFonts w:ascii="Arial" w:hAnsi="Arial" w:eastAsia="Arial" w:cs="Arial"/>
      <w:color w:val="2E75B6" w:themeColor="accent1" w:themeShade="BF"/>
      <w:sz w:val="28"/>
      <w:szCs w:val="28"/>
    </w:rPr>
  </w:style>
  <w:style w:type="character" w:customStyle="1" w:styleId="173">
    <w:name w:val="Heading 4 Char"/>
    <w:basedOn w:val="11"/>
    <w:uiPriority w:val="9"/>
    <w:rPr>
      <w:rFonts w:ascii="Arial" w:hAnsi="Arial" w:eastAsia="Arial" w:cs="Arial"/>
      <w:i/>
      <w:iCs/>
      <w:color w:val="2E75B6" w:themeColor="accent1" w:themeShade="BF"/>
    </w:rPr>
  </w:style>
  <w:style w:type="character" w:customStyle="1" w:styleId="174">
    <w:name w:val="Heading 5 Char"/>
    <w:basedOn w:val="11"/>
    <w:uiPriority w:val="9"/>
    <w:rPr>
      <w:rFonts w:ascii="Arial" w:hAnsi="Arial" w:eastAsia="Arial" w:cs="Arial"/>
      <w:color w:val="2E75B6" w:themeColor="accent1" w:themeShade="BF"/>
    </w:rPr>
  </w:style>
  <w:style w:type="character" w:customStyle="1" w:styleId="175">
    <w:name w:val="Heading 6 Char"/>
    <w:basedOn w:val="11"/>
    <w:uiPriority w:val="9"/>
    <w:rPr>
      <w:rFonts w:ascii="Arial" w:hAnsi="Arial" w:eastAsia="Arial" w:cs="Arial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76">
    <w:name w:val="Heading 7 Char"/>
    <w:basedOn w:val="11"/>
    <w:uiPriority w:val="9"/>
    <w:rPr>
      <w:rFonts w:ascii="Arial" w:hAnsi="Arial" w:eastAsia="Arial" w:cs="Arial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77">
    <w:name w:val="Heading 8 Char"/>
    <w:basedOn w:val="11"/>
    <w:uiPriority w:val="9"/>
    <w:rPr>
      <w:rFonts w:ascii="Arial" w:hAnsi="Arial" w:eastAsia="Arial" w:cs="Arial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78">
    <w:name w:val="Heading 9 Char"/>
    <w:basedOn w:val="11"/>
    <w:uiPriority w:val="9"/>
    <w:rPr>
      <w:rFonts w:ascii="Arial" w:hAnsi="Arial" w:eastAsia="Arial" w:cs="Arial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79">
    <w:name w:val="Title Char"/>
    <w:basedOn w:val="11"/>
    <w:link w:val="40"/>
    <w:uiPriority w:val="10"/>
    <w:rPr>
      <w:rFonts w:ascii="Arial" w:hAnsi="Arial" w:eastAsia="Arial" w:cs="Arial"/>
      <w:spacing w:val="-10"/>
      <w:sz w:val="56"/>
      <w:szCs w:val="56"/>
    </w:rPr>
  </w:style>
  <w:style w:type="character" w:customStyle="1" w:styleId="180">
    <w:name w:val="Subtitle Char"/>
    <w:basedOn w:val="11"/>
    <w:link w:val="43"/>
    <w:uiPriority w:val="11"/>
    <w:rPr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81">
    <w:name w:val="Quote"/>
    <w:basedOn w:val="1"/>
    <w:next w:val="1"/>
    <w:link w:val="18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82">
    <w:name w:val="Quote Char"/>
    <w:basedOn w:val="11"/>
    <w:link w:val="181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83">
    <w:name w:val="Intense Emphasis"/>
    <w:basedOn w:val="11"/>
    <w:qFormat/>
    <w:uiPriority w:val="21"/>
    <w:rPr>
      <w:i/>
      <w:iCs/>
      <w:color w:val="2E75B6" w:themeColor="accent1" w:themeShade="BF"/>
    </w:rPr>
  </w:style>
  <w:style w:type="paragraph" w:styleId="184">
    <w:name w:val="Intense Quote"/>
    <w:basedOn w:val="1"/>
    <w:next w:val="1"/>
    <w:link w:val="185"/>
    <w:qFormat/>
    <w:uiPriority w:val="30"/>
    <w:pPr>
      <w:pBdr>
        <w:top w:val="single" w:color="2E75B5" w:themeColor="accent1" w:themeShade="BF" w:sz="4" w:space="10"/>
        <w:bottom w:val="single" w:color="2E75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5B6" w:themeColor="accent1" w:themeShade="BF"/>
    </w:rPr>
  </w:style>
  <w:style w:type="character" w:customStyle="1" w:styleId="185">
    <w:name w:val="Intense Quote Char"/>
    <w:basedOn w:val="11"/>
    <w:link w:val="184"/>
    <w:uiPriority w:val="30"/>
    <w:rPr>
      <w:i/>
      <w:iCs/>
      <w:color w:val="2E75B6" w:themeColor="accent1" w:themeShade="BF"/>
    </w:rPr>
  </w:style>
  <w:style w:type="character" w:customStyle="1" w:styleId="186">
    <w:name w:val="Intense Reference"/>
    <w:basedOn w:val="11"/>
    <w:qFormat/>
    <w:uiPriority w:val="32"/>
    <w:rPr>
      <w:b/>
      <w:bCs/>
      <w:smallCaps/>
      <w:color w:val="2E75B6" w:themeColor="accent1" w:themeShade="BF"/>
      <w:spacing w:val="5"/>
    </w:rPr>
  </w:style>
  <w:style w:type="character" w:customStyle="1" w:styleId="187">
    <w:name w:val="Subtle Emphasis"/>
    <w:basedOn w:val="11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88">
    <w:name w:val="Subtle Reference"/>
    <w:basedOn w:val="11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89">
    <w:name w:val="Book Title"/>
    <w:basedOn w:val="11"/>
    <w:qFormat/>
    <w:uiPriority w:val="33"/>
    <w:rPr>
      <w:b/>
      <w:bCs/>
      <w:i/>
      <w:iCs/>
      <w:spacing w:val="5"/>
    </w:rPr>
  </w:style>
  <w:style w:type="character" w:customStyle="1" w:styleId="190">
    <w:name w:val="Header Char"/>
    <w:basedOn w:val="11"/>
    <w:uiPriority w:val="99"/>
  </w:style>
  <w:style w:type="character" w:customStyle="1" w:styleId="191">
    <w:name w:val="Footer Char"/>
    <w:basedOn w:val="11"/>
    <w:uiPriority w:val="99"/>
  </w:style>
  <w:style w:type="character" w:customStyle="1" w:styleId="192">
    <w:name w:val="Footnote Text Char"/>
    <w:basedOn w:val="11"/>
    <w:semiHidden/>
    <w:uiPriority w:val="99"/>
    <w:rPr>
      <w:sz w:val="20"/>
      <w:szCs w:val="20"/>
    </w:rPr>
  </w:style>
  <w:style w:type="character" w:customStyle="1" w:styleId="193">
    <w:name w:val="Endnote Text Char"/>
    <w:basedOn w:val="11"/>
    <w:link w:val="23"/>
    <w:semiHidden/>
    <w:uiPriority w:val="99"/>
    <w:rPr>
      <w:sz w:val="20"/>
      <w:szCs w:val="20"/>
    </w:rPr>
  </w:style>
  <w:style w:type="character" w:customStyle="1" w:styleId="194">
    <w:name w:val="Верхний колонтитул Знак"/>
    <w:basedOn w:val="11"/>
    <w:link w:val="29"/>
    <w:uiPriority w:val="99"/>
  </w:style>
  <w:style w:type="character" w:customStyle="1" w:styleId="195">
    <w:name w:val="Нижний колонтитул Знак"/>
    <w:basedOn w:val="11"/>
    <w:link w:val="41"/>
    <w:uiPriority w:val="99"/>
  </w:style>
  <w:style w:type="paragraph" w:styleId="196">
    <w:name w:val="No Spacing"/>
    <w:link w:val="197"/>
    <w:qFormat/>
    <w:uiPriority w:val="1"/>
    <w:pPr>
      <w:spacing w:before="0" w:beforeAutospacing="0" w:after="0" w:afterAutospacing="0" w:line="240" w:lineRule="auto"/>
    </w:pPr>
    <w:rPr>
      <w:rFonts w:hint="default"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97">
    <w:name w:val="Без интервала Знак"/>
    <w:basedOn w:val="11"/>
    <w:link w:val="196"/>
    <w:uiPriority w:val="1"/>
    <w:rPr>
      <w:rFonts w:eastAsiaTheme="minorEastAsia"/>
      <w:lang w:eastAsia="ru-RU"/>
    </w:rPr>
  </w:style>
  <w:style w:type="character" w:styleId="198">
    <w:name w:val="Placeholder Text"/>
    <w:basedOn w:val="11"/>
    <w:semiHidden/>
    <w:uiPriority w:val="99"/>
    <w:rPr>
      <w:color w:val="808080"/>
    </w:rPr>
  </w:style>
  <w:style w:type="character" w:customStyle="1" w:styleId="199">
    <w:name w:val="Текст выноски Знак"/>
    <w:basedOn w:val="11"/>
    <w:link w:val="21"/>
    <w:uiPriority w:val="0"/>
    <w:rPr>
      <w:rFonts w:ascii="Tahoma" w:hAnsi="Tahoma" w:cs="Tahoma"/>
      <w:sz w:val="16"/>
      <w:szCs w:val="16"/>
    </w:rPr>
  </w:style>
  <w:style w:type="character" w:customStyle="1" w:styleId="200">
    <w:name w:val="Заголовок 1 Знак"/>
    <w:basedOn w:val="11"/>
    <w:link w:val="2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201">
    <w:name w:val="Заголовок 2 Знак"/>
    <w:basedOn w:val="11"/>
    <w:link w:val="3"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202">
    <w:name w:val="Заголовок 3 Знак"/>
    <w:basedOn w:val="11"/>
    <w:link w:val="4"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203">
    <w:name w:val="Заголовок 4 Знак"/>
    <w:basedOn w:val="11"/>
    <w:link w:val="5"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204">
    <w:name w:val="Заголовок 5 Знак"/>
    <w:basedOn w:val="11"/>
    <w:link w:val="6"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205">
    <w:name w:val="Заголовок 6 Знак"/>
    <w:basedOn w:val="11"/>
    <w:link w:val="7"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206">
    <w:name w:val="Заголовок 7 Знак"/>
    <w:basedOn w:val="11"/>
    <w:link w:val="8"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207">
    <w:name w:val="Заголовок 8 Знак"/>
    <w:basedOn w:val="11"/>
    <w:link w:val="9"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208">
    <w:name w:val="Заголовок 9 Знак"/>
    <w:basedOn w:val="11"/>
    <w:link w:val="10"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customStyle="1" w:styleId="209">
    <w:name w:val="numbered list"/>
    <w:basedOn w:val="210"/>
    <w:uiPriority w:val="0"/>
    <w:pPr>
      <w:tabs>
        <w:tab w:val="left" w:pos="360"/>
      </w:tabs>
    </w:pPr>
  </w:style>
  <w:style w:type="paragraph" w:customStyle="1" w:styleId="210">
    <w:name w:val="bullet"/>
    <w:basedOn w:val="1"/>
    <w:uiPriority w:val="0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customStyle="1" w:styleId="211">
    <w:name w:val="Doc subtitle1"/>
    <w:basedOn w:val="1"/>
    <w:link w:val="218"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212">
    <w:name w:val="Doc subtitle2"/>
    <w:basedOn w:val="1"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213">
    <w:name w:val="Doc title"/>
    <w:basedOn w:val="1"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214">
    <w:name w:val="Основной текст Знак"/>
    <w:basedOn w:val="11"/>
    <w:link w:val="32"/>
    <w:semiHidden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215">
    <w:name w:val="Основной текст с отступом 2 Знак"/>
    <w:basedOn w:val="11"/>
    <w:link w:val="42"/>
    <w:semiHidden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216">
    <w:name w:val="Основной текст 2 Знак"/>
    <w:basedOn w:val="11"/>
    <w:link w:val="22"/>
    <w:semiHidden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217">
    <w:name w:val="Абзац списка1"/>
    <w:basedOn w:val="1"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218">
    <w:name w:val="Doc subtitle1 Char"/>
    <w:link w:val="211"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219">
    <w:name w:val="Текст сноски Знак"/>
    <w:basedOn w:val="11"/>
    <w:link w:val="27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220">
    <w:name w:val="цветной текст"/>
    <w:basedOn w:val="1"/>
    <w:qFormat/>
    <w:uiPriority w:val="0"/>
    <w:pPr>
      <w:numPr>
        <w:ilvl w:val="0"/>
        <w:numId w:val="2"/>
      </w:numPr>
      <w:spacing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221">
    <w:name w:val="538552DCBB0F4C4BB087ED922D6A6322"/>
    <w:uiPriority w:val="0"/>
    <w:pPr>
      <w:spacing w:before="0" w:beforeAutospacing="0" w:after="200" w:afterAutospacing="0" w:line="276" w:lineRule="auto"/>
    </w:pPr>
    <w:rPr>
      <w:rFonts w:hint="default"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22">
    <w:name w:val="выделение цвет"/>
    <w:basedOn w:val="1"/>
    <w:link w:val="233"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223">
    <w:name w:val="цвет в таблице"/>
    <w:uiPriority w:val="0"/>
    <w:rPr>
      <w:color w:val="2C8DE6"/>
    </w:rPr>
  </w:style>
  <w:style w:type="paragraph" w:customStyle="1" w:styleId="224">
    <w:name w:val="TOC Heading"/>
    <w:basedOn w:val="2"/>
    <w:next w:val="1"/>
    <w:semiHidden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225">
    <w:name w:val="!Заголовок-1"/>
    <w:basedOn w:val="2"/>
    <w:link w:val="227"/>
    <w:qFormat/>
    <w:uiPriority w:val="0"/>
    <w:rPr>
      <w:lang w:val="ru-RU"/>
    </w:rPr>
  </w:style>
  <w:style w:type="paragraph" w:customStyle="1" w:styleId="226">
    <w:name w:val="!заголовок-2"/>
    <w:basedOn w:val="3"/>
    <w:link w:val="229"/>
    <w:qFormat/>
    <w:uiPriority w:val="0"/>
    <w:rPr>
      <w:lang w:val="ru-RU"/>
    </w:rPr>
  </w:style>
  <w:style w:type="character" w:customStyle="1" w:styleId="227">
    <w:name w:val="!Заголовок-1 Знак"/>
    <w:link w:val="225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228">
    <w:name w:val="!Текст"/>
    <w:basedOn w:val="1"/>
    <w:link w:val="231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229">
    <w:name w:val="!заголовок-2 Знак"/>
    <w:link w:val="226"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230">
    <w:name w:val="!Синий заголовок текста"/>
    <w:basedOn w:val="222"/>
    <w:link w:val="234"/>
    <w:qFormat/>
    <w:uiPriority w:val="0"/>
  </w:style>
  <w:style w:type="character" w:customStyle="1" w:styleId="231">
    <w:name w:val="!Текст Знак"/>
    <w:link w:val="228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232">
    <w:name w:val="!Список с точками"/>
    <w:basedOn w:val="1"/>
    <w:link w:val="236"/>
    <w:qFormat/>
    <w:uiPriority w:val="0"/>
    <w:pPr>
      <w:numPr>
        <w:ilvl w:val="0"/>
        <w:numId w:val="3"/>
      </w:num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233">
    <w:name w:val="выделение цвет Знак"/>
    <w:link w:val="222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234">
    <w:name w:val="!Синий заголовок текста Знак"/>
    <w:link w:val="230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235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236">
    <w:name w:val="!Список с точками Знак"/>
    <w:link w:val="232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237">
    <w:name w:val="Базовый"/>
    <w:uiPriority w:val="0"/>
    <w:pPr>
      <w:spacing w:before="0" w:beforeAutospacing="0" w:after="200" w:afterAutospacing="0" w:line="276" w:lineRule="auto"/>
    </w:pPr>
    <w:rPr>
      <w:rFonts w:hint="default" w:ascii="Times New Roman" w:hAnsi="Times New Roman" w:eastAsia="DejaVu Sans" w:cs="Times New Roman"/>
      <w:sz w:val="24"/>
      <w:szCs w:val="24"/>
      <w:lang w:val="ru-RU" w:eastAsia="en-US" w:bidi="ar-SA"/>
    </w:rPr>
  </w:style>
  <w:style w:type="character" w:customStyle="1" w:styleId="238">
    <w:name w:val="Интернет-ссылка"/>
    <w:uiPriority w:val="0"/>
    <w:rPr>
      <w:color w:val="0000FF"/>
      <w:u w:val="single"/>
      <w:lang w:val="ru-RU" w:eastAsia="ru-RU" w:bidi="ru-RU"/>
    </w:rPr>
  </w:style>
  <w:style w:type="character" w:customStyle="1" w:styleId="239">
    <w:name w:val="Текст примечания Знак"/>
    <w:basedOn w:val="11"/>
    <w:link w:val="25"/>
    <w:semiHidden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40">
    <w:name w:val="Тема примечания Знак"/>
    <w:basedOn w:val="239"/>
    <w:link w:val="26"/>
    <w:semiHidden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241">
    <w:name w:val="Lista Black"/>
    <w:basedOn w:val="32"/>
    <w:qFormat/>
    <w:uiPriority w:val="1"/>
    <w:pPr>
      <w:keepNext/>
      <w:numPr>
        <w:ilvl w:val="0"/>
        <w:numId w:val="4"/>
      </w:numPr>
      <w:spacing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242">
    <w:name w:val="Основной текст (14)_"/>
    <w:basedOn w:val="11"/>
    <w:link w:val="243"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243">
    <w:name w:val="Основной текст (14)_3"/>
    <w:basedOn w:val="1"/>
    <w:link w:val="242"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244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245">
    <w:name w:val="Неразрешенное упоминание2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0C102-8E85-4E23-98E9-4D030B06FC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TotalTime>4</TotalTime>
  <ScaleCrop>false</ScaleCrop>
  <LinksUpToDate>false</LinksUpToDate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2023-10-02T15:03:00Z</dcterms:created>
  <dc:creator>Copyright ©«Ворлдскиллс Россия» (Экспедирование грузов)</dc:creator>
  <cp:lastModifiedBy>Влад</cp:lastModifiedBy>
  <dcterms:modified xsi:type="dcterms:W3CDTF">2026-01-21T10:01:44Z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3E2C3A0C3B4745689C9B5982C05F7BD6_12</vt:lpwstr>
  </property>
</Properties>
</file>